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800C9" w14:textId="37FD2E9D" w:rsidR="0013596D" w:rsidRPr="00EE76A9" w:rsidRDefault="0013596D" w:rsidP="0013596D">
      <w:pPr>
        <w:pStyle w:val="Header"/>
        <w:tabs>
          <w:tab w:val="right" w:pos="9639"/>
        </w:tabs>
        <w:rPr>
          <w:bCs/>
          <w:i/>
          <w:noProof w:val="0"/>
          <w:sz w:val="32"/>
          <w:lang w:val="en-GB"/>
        </w:rPr>
      </w:pPr>
      <w:bookmarkStart w:id="0" w:name="OLE_LINK5"/>
      <w:bookmarkStart w:id="1" w:name="OLE_LINK6"/>
      <w:r w:rsidRPr="007B7496">
        <w:rPr>
          <w:bCs/>
          <w:noProof w:val="0"/>
          <w:sz w:val="24"/>
          <w:lang w:val="en-GB"/>
        </w:rPr>
        <w:t xml:space="preserve">3GPP TSG-RAN </w:t>
      </w:r>
      <w:r w:rsidRPr="000A4D7C">
        <w:rPr>
          <w:noProof w:val="0"/>
          <w:sz w:val="24"/>
          <w:lang w:val="en-GB"/>
        </w:rPr>
        <w:t>WG</w:t>
      </w:r>
      <w:r>
        <w:rPr>
          <w:noProof w:val="0"/>
          <w:sz w:val="24"/>
          <w:lang w:val="en-GB"/>
        </w:rPr>
        <w:t>1#88-BIS</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426DBC">
        <w:rPr>
          <w:bCs/>
          <w:noProof w:val="0"/>
          <w:sz w:val="24"/>
          <w:lang w:val="en-GB" w:eastAsia="ja-JP"/>
        </w:rPr>
        <w:t>05944</w:t>
      </w:r>
    </w:p>
    <w:p w14:paraId="3222CDB3" w14:textId="77777777" w:rsidR="0013596D" w:rsidRPr="00461210" w:rsidRDefault="0013596D" w:rsidP="0013596D">
      <w:pPr>
        <w:pStyle w:val="Header"/>
        <w:tabs>
          <w:tab w:val="right" w:pos="9639"/>
        </w:tabs>
        <w:rPr>
          <w:bCs/>
          <w:noProof w:val="0"/>
          <w:sz w:val="24"/>
          <w:lang w:val="en-GB"/>
        </w:rPr>
      </w:pPr>
      <w:r>
        <w:rPr>
          <w:noProof w:val="0"/>
          <w:sz w:val="24"/>
          <w:lang w:val="en-GB"/>
        </w:rPr>
        <w:t>Spokane, WA, United States, April 3-7</w:t>
      </w:r>
      <w:r>
        <w:rPr>
          <w:bCs/>
          <w:sz w:val="24"/>
        </w:rPr>
        <w:t xml:space="preserve">, </w:t>
      </w:r>
      <w:r w:rsidRPr="00235B77">
        <w:rPr>
          <w:bCs/>
          <w:sz w:val="24"/>
        </w:rPr>
        <w:t>201</w:t>
      </w:r>
      <w:r>
        <w:rPr>
          <w:bCs/>
          <w:sz w:val="24"/>
        </w:rPr>
        <w:t>7</w:t>
      </w:r>
    </w:p>
    <w:p w14:paraId="7C3A2C15" w14:textId="77777777" w:rsidR="0013596D" w:rsidRPr="007B7496" w:rsidRDefault="0013596D" w:rsidP="0013596D">
      <w:pPr>
        <w:pStyle w:val="Header"/>
        <w:rPr>
          <w:bCs/>
          <w:noProof w:val="0"/>
          <w:sz w:val="24"/>
          <w:lang w:val="en-GB" w:eastAsia="ja-JP"/>
        </w:rPr>
      </w:pPr>
    </w:p>
    <w:p w14:paraId="5EBA1C96" w14:textId="77777777" w:rsidR="0013596D" w:rsidRPr="007B7496" w:rsidRDefault="0013596D" w:rsidP="0013596D">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8.1.8</w:t>
      </w:r>
    </w:p>
    <w:p w14:paraId="24E7832E" w14:textId="77777777" w:rsidR="0013596D" w:rsidRPr="00F174DB" w:rsidRDefault="0013596D" w:rsidP="0013596D">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60A049A2" w14:textId="77777777" w:rsidR="0013596D" w:rsidRPr="00F174DB" w:rsidRDefault="0013596D" w:rsidP="0013596D">
      <w:pPr>
        <w:ind w:left="1985" w:hanging="1985"/>
        <w:rPr>
          <w:rFonts w:ascii="Arial" w:hAnsi="Arial" w:cs="Arial"/>
          <w:b/>
          <w:bCs/>
          <w:sz w:val="24"/>
        </w:rPr>
      </w:pPr>
      <w:r>
        <w:rPr>
          <w:rFonts w:ascii="Arial" w:hAnsi="Arial" w:cs="Arial"/>
          <w:b/>
          <w:bCs/>
          <w:sz w:val="24"/>
        </w:rPr>
        <w:t>Title:</w:t>
      </w:r>
      <w:r>
        <w:rPr>
          <w:rFonts w:ascii="Arial" w:hAnsi="Arial" w:cs="Arial"/>
          <w:b/>
          <w:bCs/>
          <w:sz w:val="24"/>
        </w:rPr>
        <w:tab/>
        <w:t>NR-LTE sharing of uplink carrier frequency</w:t>
      </w:r>
    </w:p>
    <w:p w14:paraId="0035C876" w14:textId="4A19757A" w:rsidR="0013596D" w:rsidRDefault="0013596D" w:rsidP="0013596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DBCAD6D" w14:textId="77777777" w:rsidR="006E2CD6" w:rsidRPr="007B7496" w:rsidRDefault="006E2CD6" w:rsidP="0013596D">
      <w:pPr>
        <w:rPr>
          <w:rFonts w:ascii="Arial" w:hAnsi="Arial" w:cs="Arial"/>
          <w:b/>
          <w:bCs/>
          <w:sz w:val="24"/>
        </w:rPr>
      </w:pPr>
    </w:p>
    <w:bookmarkEnd w:id="0"/>
    <w:bookmarkEnd w:id="1"/>
    <w:p w14:paraId="2A580CF8" w14:textId="77777777" w:rsidR="0034111C" w:rsidRPr="007B7496" w:rsidRDefault="0034111C">
      <w:pPr>
        <w:pStyle w:val="Heading1"/>
      </w:pPr>
      <w:r w:rsidRPr="007B7496">
        <w:t>1</w:t>
      </w:r>
      <w:r w:rsidRPr="007B7496">
        <w:tab/>
      </w:r>
      <w:r w:rsidR="00EE7FA7" w:rsidRPr="007B7496">
        <w:t>Introduction</w:t>
      </w:r>
    </w:p>
    <w:p w14:paraId="0EF63F1E" w14:textId="042EBA5C" w:rsidR="006710EA" w:rsidRDefault="00E4558F" w:rsidP="00A9059C">
      <w:pPr>
        <w:pStyle w:val="00BodyText"/>
        <w:rPr>
          <w:rFonts w:ascii="Times New Roman" w:hAnsi="Times New Roman"/>
          <w:bCs/>
          <w:sz w:val="20"/>
        </w:rPr>
      </w:pPr>
      <w:r>
        <w:rPr>
          <w:rFonts w:ascii="Times New Roman" w:hAnsi="Times New Roman"/>
          <w:bCs/>
          <w:sz w:val="20"/>
        </w:rPr>
        <w:t xml:space="preserve">RAN #75 </w:t>
      </w:r>
      <w:r w:rsidR="00AD3A5E">
        <w:rPr>
          <w:rFonts w:ascii="Times New Roman" w:hAnsi="Times New Roman"/>
          <w:bCs/>
          <w:sz w:val="20"/>
        </w:rPr>
        <w:t xml:space="preserve">approved </w:t>
      </w:r>
      <w:r>
        <w:rPr>
          <w:rFonts w:ascii="Times New Roman" w:hAnsi="Times New Roman"/>
          <w:bCs/>
          <w:sz w:val="20"/>
        </w:rPr>
        <w:t>a new work item on New Radio Access Technology, including among many other objectives the following on NR-LTE coexistence</w:t>
      </w:r>
      <w:r w:rsidR="00CA7FEF">
        <w:rPr>
          <w:rFonts w:ascii="Times New Roman" w:hAnsi="Times New Roman"/>
          <w:bCs/>
          <w:sz w:val="20"/>
        </w:rPr>
        <w:t xml:space="preserve"> [1]</w:t>
      </w:r>
      <w:r>
        <w:rPr>
          <w:rFonts w:ascii="Times New Roman" w:hAnsi="Times New Roman"/>
          <w:bCs/>
          <w:sz w:val="20"/>
        </w:rPr>
        <w:t>:</w:t>
      </w:r>
    </w:p>
    <w:p w14:paraId="17E02C88" w14:textId="77777777" w:rsidR="00CA7FEF" w:rsidRPr="00CA7FEF" w:rsidRDefault="00CA7FEF" w:rsidP="00CA7FEF">
      <w:pPr>
        <w:overflowPunct w:val="0"/>
        <w:autoSpaceDE w:val="0"/>
        <w:autoSpaceDN w:val="0"/>
        <w:adjustRightInd w:val="0"/>
        <w:spacing w:after="180" w:line="240" w:lineRule="auto"/>
        <w:ind w:left="568"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color w:val="5B9BD5" w:themeColor="accent5"/>
          <w:sz w:val="20"/>
          <w:szCs w:val="20"/>
          <w:lang w:val="en-GB" w:eastAsia="ja-JP"/>
        </w:rPr>
        <w:t>NR-LTE co-existence mechanisms [RAN1, RAN2, RAN4]</w:t>
      </w:r>
      <w:r w:rsidRPr="00CA7FEF">
        <w:rPr>
          <w:rFonts w:ascii="Times New Roman" w:eastAsia="MS Mincho" w:hAnsi="Times New Roman" w:cs="Times New Roman" w:hint="eastAsia"/>
          <w:color w:val="5B9BD5" w:themeColor="accent5"/>
          <w:sz w:val="20"/>
          <w:szCs w:val="20"/>
          <w:lang w:val="en-GB" w:eastAsia="ja-JP"/>
        </w:rPr>
        <w:t>;</w:t>
      </w:r>
    </w:p>
    <w:p w14:paraId="0E190D97" w14:textId="77777777" w:rsidR="00CA7FEF" w:rsidRPr="00CA7FEF" w:rsidRDefault="00CA7FEF" w:rsidP="00CA7FEF">
      <w:pPr>
        <w:overflowPunct w:val="0"/>
        <w:autoSpaceDE w:val="0"/>
        <w:autoSpaceDN w:val="0"/>
        <w:adjustRightInd w:val="0"/>
        <w:spacing w:after="180" w:line="240" w:lineRule="auto"/>
        <w:ind w:left="851" w:hanging="284"/>
        <w:textAlignment w:val="baseline"/>
        <w:rPr>
          <w:rFonts w:ascii="Times New Roman" w:eastAsia="MS Mincho" w:hAnsi="Times New Roman" w:cs="Times New Roman"/>
          <w:color w:val="5B9BD5" w:themeColor="accent5"/>
          <w:sz w:val="20"/>
          <w:szCs w:val="20"/>
          <w:lang w:val="en-GB" w:eastAsia="ja-JP"/>
        </w:rPr>
      </w:pPr>
      <w:r w:rsidRPr="00CA7FEF">
        <w:rPr>
          <w:rFonts w:ascii="Times New Roman" w:eastAsia="MS Mincho" w:hAnsi="Times New Roman" w:cs="Times New Roman" w:hint="eastAsia"/>
          <w:color w:val="5B9BD5" w:themeColor="accent5"/>
          <w:sz w:val="20"/>
          <w:szCs w:val="20"/>
          <w:lang w:val="en-GB" w:eastAsia="ja-JP"/>
        </w:rPr>
        <w:t>-</w:t>
      </w:r>
      <w:r w:rsidRPr="00CA7FEF">
        <w:rPr>
          <w:rFonts w:ascii="Times New Roman" w:eastAsia="MS Mincho" w:hAnsi="Times New Roman" w:cs="Times New Roman" w:hint="eastAsia"/>
          <w:color w:val="5B9BD5" w:themeColor="accent5"/>
          <w:sz w:val="20"/>
          <w:szCs w:val="20"/>
          <w:lang w:val="en-GB" w:eastAsia="ja-JP"/>
        </w:rPr>
        <w:tab/>
      </w:r>
      <w:r w:rsidRPr="00CA7FEF">
        <w:rPr>
          <w:rFonts w:ascii="Times New Roman" w:eastAsia="MS Mincho" w:hAnsi="Times New Roman" w:cs="Times New Roman"/>
          <w:color w:val="5B9BD5" w:themeColor="accent5"/>
          <w:sz w:val="20"/>
          <w:szCs w:val="20"/>
          <w:lang w:val="en-GB" w:eastAsia="ja-JP"/>
        </w:rPr>
        <w:t>Support co-existence of LTE UL and NR UL within the bandwidth of an LTE component carrier</w:t>
      </w:r>
      <w:r w:rsidRPr="00CA7FEF">
        <w:rPr>
          <w:rFonts w:ascii="Times New Roman" w:eastAsia="MS Mincho" w:hAnsi="Times New Roman" w:cs="Times New Roman" w:hint="eastAsia"/>
          <w:color w:val="5B9BD5" w:themeColor="accent5"/>
          <w:sz w:val="20"/>
          <w:szCs w:val="20"/>
          <w:lang w:val="en-GB" w:eastAsia="ja-JP"/>
        </w:rPr>
        <w:t xml:space="preserve"> and </w:t>
      </w:r>
      <w:r w:rsidRPr="00CA7FEF">
        <w:rPr>
          <w:rFonts w:ascii="Times New Roman" w:eastAsia="MS Mincho" w:hAnsi="Times New Roman" w:cs="Times New Roman"/>
          <w:color w:val="5B9BD5" w:themeColor="accent5"/>
          <w:sz w:val="20"/>
          <w:szCs w:val="20"/>
          <w:lang w:val="en-GB" w:eastAsia="ja-JP"/>
        </w:rPr>
        <w:t xml:space="preserve">co-existence of LTE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 xml:space="preserve">L and NR </w:t>
      </w:r>
      <w:r w:rsidRPr="00CA7FEF">
        <w:rPr>
          <w:rFonts w:ascii="Times New Roman" w:eastAsia="MS Mincho" w:hAnsi="Times New Roman" w:cs="Times New Roman" w:hint="eastAsia"/>
          <w:color w:val="5B9BD5" w:themeColor="accent5"/>
          <w:sz w:val="20"/>
          <w:szCs w:val="20"/>
          <w:lang w:val="en-GB" w:eastAsia="ja-JP"/>
        </w:rPr>
        <w:t>D</w:t>
      </w:r>
      <w:r w:rsidRPr="00CA7FEF">
        <w:rPr>
          <w:rFonts w:ascii="Times New Roman" w:eastAsia="MS Mincho" w:hAnsi="Times New Roman" w:cs="Times New Roman"/>
          <w:color w:val="5B9BD5" w:themeColor="accent5"/>
          <w:sz w:val="20"/>
          <w:szCs w:val="20"/>
          <w:lang w:val="en-GB" w:eastAsia="ja-JP"/>
        </w:rPr>
        <w:t>L within the bandwidth of an LTE component carrier, and identify and specify at least one NR band/LTE-NR band combination for this operation.</w:t>
      </w:r>
    </w:p>
    <w:p w14:paraId="722B0576"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Minimize impact to NR physical layer design to enable this co-existence.</w:t>
      </w:r>
    </w:p>
    <w:p w14:paraId="777D7520"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impact to the ability of legacy LTE devices to operate on the LTE carrier co-existing with NR</w:t>
      </w:r>
    </w:p>
    <w:p w14:paraId="2303572B" w14:textId="77777777" w:rsidR="00CA7FEF" w:rsidRPr="00CA7FEF" w:rsidRDefault="00CA7FEF" w:rsidP="00CA7FEF">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implication that UE has to support simultaneous connection of NR and LTE in the bandwidth of an LTE component carrier</w:t>
      </w:r>
    </w:p>
    <w:p w14:paraId="5233E0EA" w14:textId="5AAE43B9" w:rsidR="0013596D" w:rsidRDefault="00961813" w:rsidP="00961813">
      <w:pPr>
        <w:pStyle w:val="00BodyText"/>
        <w:rPr>
          <w:rFonts w:ascii="Times New Roman" w:hAnsi="Times New Roman"/>
          <w:bCs/>
          <w:sz w:val="20"/>
        </w:rPr>
      </w:pPr>
      <w:r>
        <w:rPr>
          <w:rFonts w:ascii="Times New Roman" w:hAnsi="Times New Roman"/>
          <w:bCs/>
          <w:sz w:val="20"/>
        </w:rPr>
        <w:t>In this contribution we discuss further the LTE and NR sharing an uplink carrier, already discussed during the study item, and e.g. in [</w:t>
      </w:r>
      <w:r w:rsidR="007209E1">
        <w:rPr>
          <w:rFonts w:ascii="Times New Roman" w:hAnsi="Times New Roman"/>
          <w:bCs/>
          <w:sz w:val="20"/>
        </w:rPr>
        <w:t>3</w:t>
      </w:r>
      <w:r>
        <w:rPr>
          <w:rFonts w:ascii="Times New Roman" w:hAnsi="Times New Roman"/>
          <w:bCs/>
          <w:sz w:val="20"/>
        </w:rPr>
        <w:t xml:space="preserve">]. </w:t>
      </w:r>
    </w:p>
    <w:p w14:paraId="6A68EC24" w14:textId="77777777" w:rsidR="006E2CD6" w:rsidRDefault="006E2CD6" w:rsidP="00961813">
      <w:pPr>
        <w:pStyle w:val="00BodyText"/>
        <w:rPr>
          <w:rFonts w:ascii="Times New Roman" w:hAnsi="Times New Roman"/>
          <w:bCs/>
          <w:sz w:val="20"/>
        </w:rPr>
      </w:pPr>
    </w:p>
    <w:p w14:paraId="2B48581C" w14:textId="77777777" w:rsidR="008E68EE" w:rsidRDefault="008E68EE" w:rsidP="008E68EE">
      <w:pPr>
        <w:pStyle w:val="Heading1"/>
      </w:pPr>
      <w:bookmarkStart w:id="2" w:name="OLE_LINK13"/>
      <w:bookmarkStart w:id="3" w:name="OLE_LINK14"/>
      <w:r>
        <w:t>2</w:t>
      </w:r>
      <w:r>
        <w:tab/>
      </w:r>
      <w:r w:rsidR="00F03384">
        <w:t>Discussion</w:t>
      </w:r>
    </w:p>
    <w:p w14:paraId="1169019E" w14:textId="77777777" w:rsidR="0013596D" w:rsidRDefault="0013596D" w:rsidP="0013596D">
      <w:pPr>
        <w:rPr>
          <w:rFonts w:ascii="Times New Roman" w:hAnsi="Times New Roman"/>
          <w:sz w:val="20"/>
          <w:szCs w:val="20"/>
        </w:rPr>
      </w:pPr>
      <w:r>
        <w:rPr>
          <w:rFonts w:ascii="Times New Roman" w:hAnsi="Times New Roman"/>
          <w:sz w:val="20"/>
          <w:szCs w:val="20"/>
        </w:rPr>
        <w:t>As discussed in [4], the LTE PUCCH can be over-booked so that part of the allocation is blanked, i.e. not assigned to any UEs.</w:t>
      </w:r>
      <w:r w:rsidR="00B972DC">
        <w:rPr>
          <w:rFonts w:ascii="Times New Roman" w:hAnsi="Times New Roman"/>
          <w:sz w:val="20"/>
          <w:szCs w:val="20"/>
        </w:rPr>
        <w:t xml:space="preserve"> This is exemplified in figure 1 below.</w:t>
      </w:r>
    </w:p>
    <w:p w14:paraId="046FBCE7" w14:textId="77777777" w:rsidR="00A9059C" w:rsidRPr="0013596D" w:rsidRDefault="00A9059C" w:rsidP="0013596D">
      <w:pPr>
        <w:rPr>
          <w:lang w:val="en-GB"/>
        </w:rPr>
      </w:pPr>
    </w:p>
    <w:p w14:paraId="4DAEADBA" w14:textId="77777777" w:rsidR="0066288E" w:rsidRDefault="001C14A3" w:rsidP="0066288E">
      <w:pPr>
        <w:jc w:val="center"/>
        <w:rPr>
          <w:rFonts w:ascii="Times New Roman" w:hAnsi="Times New Roman"/>
          <w:sz w:val="20"/>
          <w:szCs w:val="20"/>
        </w:rPr>
      </w:pPr>
      <w:r>
        <w:rPr>
          <w:rFonts w:ascii="Times New Roman" w:hAnsi="Times New Roman"/>
          <w:noProof/>
          <w:sz w:val="20"/>
          <w:szCs w:val="20"/>
        </w:rPr>
        <w:drawing>
          <wp:inline distT="0" distB="0" distL="0" distR="0" wp14:anchorId="7638D468" wp14:editId="7D397DA8">
            <wp:extent cx="3376673" cy="2282342"/>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76673" cy="2282342"/>
                    </a:xfrm>
                    <a:prstGeom prst="rect">
                      <a:avLst/>
                    </a:prstGeom>
                    <a:noFill/>
                  </pic:spPr>
                </pic:pic>
              </a:graphicData>
            </a:graphic>
          </wp:inline>
        </w:drawing>
      </w:r>
    </w:p>
    <w:p w14:paraId="414BA12C" w14:textId="68C65039" w:rsidR="0066288E" w:rsidRDefault="0066288E" w:rsidP="0066288E">
      <w:pPr>
        <w:pStyle w:val="Caption"/>
        <w:jc w:val="center"/>
        <w:rPr>
          <w:lang w:val="en-US"/>
        </w:rPr>
      </w:pPr>
      <w:r>
        <w:t xml:space="preserve">Figure </w:t>
      </w:r>
      <w:r w:rsidR="007B5BD7">
        <w:fldChar w:fldCharType="begin"/>
      </w:r>
      <w:r w:rsidR="007B5BD7">
        <w:instrText xml:space="preserve"> SEQ Figure \* ARABIC </w:instrText>
      </w:r>
      <w:r w:rsidR="007B5BD7">
        <w:fldChar w:fldCharType="separate"/>
      </w:r>
      <w:r w:rsidR="007B6B02">
        <w:rPr>
          <w:noProof/>
        </w:rPr>
        <w:t>1</w:t>
      </w:r>
      <w:r w:rsidR="007B5BD7">
        <w:rPr>
          <w:noProof/>
        </w:rPr>
        <w:fldChar w:fldCharType="end"/>
      </w:r>
      <w:r>
        <w:rPr>
          <w:lang w:val="en-US"/>
        </w:rPr>
        <w:t>: Example</w:t>
      </w:r>
      <w:r w:rsidR="00E70D1D">
        <w:rPr>
          <w:lang w:val="en-US"/>
        </w:rPr>
        <w:t>s</w:t>
      </w:r>
      <w:r w:rsidR="0087745F">
        <w:rPr>
          <w:lang w:val="en-US"/>
        </w:rPr>
        <w:t xml:space="preserve"> of</w:t>
      </w:r>
      <w:r w:rsidR="00E70D1D">
        <w:rPr>
          <w:lang w:val="en-US"/>
        </w:rPr>
        <w:t xml:space="preserve"> ‘</w:t>
      </w:r>
      <w:r w:rsidR="0013596D">
        <w:rPr>
          <w:lang w:val="en-US"/>
        </w:rPr>
        <w:t xml:space="preserve">LTE </w:t>
      </w:r>
      <w:r w:rsidR="00E70D1D">
        <w:rPr>
          <w:lang w:val="en-US"/>
        </w:rPr>
        <w:t>PUCCH blanking’</w:t>
      </w:r>
      <w:r w:rsidR="0013596D">
        <w:rPr>
          <w:lang w:val="en-US"/>
        </w:rPr>
        <w:t xml:space="preserve"> used to </w:t>
      </w:r>
      <w:r w:rsidR="0087745F">
        <w:rPr>
          <w:lang w:val="en-US"/>
        </w:rPr>
        <w:t>generate</w:t>
      </w:r>
      <w:r w:rsidR="0013596D">
        <w:rPr>
          <w:lang w:val="en-US"/>
        </w:rPr>
        <w:t xml:space="preserve"> room for NR transmissions</w:t>
      </w:r>
    </w:p>
    <w:p w14:paraId="0D72DE58" w14:textId="7878E2CE" w:rsidR="00A9059C" w:rsidRDefault="00A9059C" w:rsidP="00C1008E">
      <w:pPr>
        <w:jc w:val="both"/>
        <w:rPr>
          <w:rFonts w:ascii="Times New Roman" w:hAnsi="Times New Roman"/>
          <w:sz w:val="20"/>
          <w:szCs w:val="20"/>
        </w:rPr>
      </w:pPr>
    </w:p>
    <w:p w14:paraId="50A1F897" w14:textId="77777777" w:rsidR="008D4ACA" w:rsidRDefault="008D4ACA" w:rsidP="00C1008E">
      <w:pPr>
        <w:jc w:val="both"/>
        <w:rPr>
          <w:rFonts w:ascii="Times New Roman" w:hAnsi="Times New Roman"/>
          <w:sz w:val="20"/>
          <w:szCs w:val="20"/>
        </w:rPr>
      </w:pPr>
    </w:p>
    <w:p w14:paraId="0AC882C8" w14:textId="4724845F" w:rsidR="0066288E" w:rsidRDefault="0013596D" w:rsidP="00C1008E">
      <w:pPr>
        <w:jc w:val="both"/>
        <w:rPr>
          <w:rFonts w:ascii="Times New Roman" w:hAnsi="Times New Roman"/>
          <w:sz w:val="20"/>
          <w:szCs w:val="20"/>
        </w:rPr>
      </w:pPr>
      <w:r>
        <w:rPr>
          <w:rFonts w:ascii="Times New Roman" w:hAnsi="Times New Roman"/>
          <w:sz w:val="20"/>
          <w:szCs w:val="20"/>
        </w:rPr>
        <w:t xml:space="preserve">The </w:t>
      </w:r>
      <w:r w:rsidR="00B972DC">
        <w:rPr>
          <w:rFonts w:ascii="Times New Roman" w:hAnsi="Times New Roman"/>
          <w:sz w:val="20"/>
          <w:szCs w:val="20"/>
        </w:rPr>
        <w:t xml:space="preserve">LTE </w:t>
      </w:r>
      <w:r>
        <w:rPr>
          <w:rFonts w:ascii="Times New Roman" w:hAnsi="Times New Roman"/>
          <w:sz w:val="20"/>
          <w:szCs w:val="20"/>
        </w:rPr>
        <w:t>PUCCH allocatio</w:t>
      </w:r>
      <w:r w:rsidR="00B972DC">
        <w:rPr>
          <w:rFonts w:ascii="Times New Roman" w:hAnsi="Times New Roman"/>
          <w:sz w:val="20"/>
          <w:szCs w:val="20"/>
        </w:rPr>
        <w:t>n is fully flexible and allows</w:t>
      </w:r>
      <w:r w:rsidR="0087745F">
        <w:rPr>
          <w:rFonts w:ascii="Times New Roman" w:hAnsi="Times New Roman"/>
          <w:sz w:val="20"/>
          <w:szCs w:val="20"/>
        </w:rPr>
        <w:t xml:space="preserve"> to place</w:t>
      </w:r>
      <w:r w:rsidR="00A9059C">
        <w:rPr>
          <w:rFonts w:ascii="Times New Roman" w:hAnsi="Times New Roman"/>
          <w:sz w:val="20"/>
          <w:szCs w:val="20"/>
        </w:rPr>
        <w:t xml:space="preserve"> </w:t>
      </w:r>
      <w:r>
        <w:rPr>
          <w:rFonts w:ascii="Times New Roman" w:hAnsi="Times New Roman"/>
          <w:sz w:val="20"/>
          <w:szCs w:val="20"/>
        </w:rPr>
        <w:t xml:space="preserve">the PUCCH </w:t>
      </w:r>
      <w:r w:rsidR="00AD3A5E">
        <w:rPr>
          <w:rFonts w:ascii="Times New Roman" w:hAnsi="Times New Roman"/>
          <w:sz w:val="20"/>
          <w:szCs w:val="20"/>
        </w:rPr>
        <w:t xml:space="preserve">symmetrically </w:t>
      </w:r>
      <w:r>
        <w:rPr>
          <w:rFonts w:ascii="Times New Roman" w:hAnsi="Times New Roman"/>
          <w:sz w:val="20"/>
          <w:szCs w:val="20"/>
        </w:rPr>
        <w:t>anywhere within the carrier. The LTE PUSCH on the other hand is a matter of scheduling and can be freely allocated within the uplink carrier</w:t>
      </w:r>
      <w:r w:rsidR="0087745F">
        <w:rPr>
          <w:rFonts w:ascii="Times New Roman" w:hAnsi="Times New Roman"/>
          <w:sz w:val="20"/>
          <w:szCs w:val="20"/>
        </w:rPr>
        <w:t xml:space="preserve"> as well</w:t>
      </w:r>
      <w:r>
        <w:rPr>
          <w:rFonts w:ascii="Times New Roman" w:hAnsi="Times New Roman"/>
          <w:sz w:val="20"/>
          <w:szCs w:val="20"/>
        </w:rPr>
        <w:t xml:space="preserve">. Further the LTE PRACH can be configured to be at any frequency location within the carrier and thus </w:t>
      </w:r>
      <w:r w:rsidR="00A9059C">
        <w:rPr>
          <w:rFonts w:ascii="Times New Roman" w:hAnsi="Times New Roman"/>
          <w:sz w:val="20"/>
          <w:szCs w:val="20"/>
        </w:rPr>
        <w:t xml:space="preserve">it </w:t>
      </w:r>
      <w:r>
        <w:rPr>
          <w:rFonts w:ascii="Times New Roman" w:hAnsi="Times New Roman"/>
          <w:sz w:val="20"/>
          <w:szCs w:val="20"/>
        </w:rPr>
        <w:t>pos</w:t>
      </w:r>
      <w:r w:rsidR="00A9059C">
        <w:rPr>
          <w:rFonts w:ascii="Times New Roman" w:hAnsi="Times New Roman"/>
          <w:sz w:val="20"/>
          <w:szCs w:val="20"/>
        </w:rPr>
        <w:t>es</w:t>
      </w:r>
      <w:r>
        <w:rPr>
          <w:rFonts w:ascii="Times New Roman" w:hAnsi="Times New Roman"/>
          <w:sz w:val="20"/>
          <w:szCs w:val="20"/>
        </w:rPr>
        <w:t xml:space="preserve"> no complications </w:t>
      </w:r>
      <w:r w:rsidR="00A9059C">
        <w:rPr>
          <w:rFonts w:ascii="Times New Roman" w:hAnsi="Times New Roman"/>
          <w:sz w:val="20"/>
          <w:szCs w:val="20"/>
        </w:rPr>
        <w:t>on</w:t>
      </w:r>
      <w:r>
        <w:rPr>
          <w:rFonts w:ascii="Times New Roman" w:hAnsi="Times New Roman"/>
          <w:sz w:val="20"/>
          <w:szCs w:val="20"/>
        </w:rPr>
        <w:t xml:space="preserve"> freeing part of the LTE carrier for </w:t>
      </w:r>
      <w:r w:rsidR="00A9059C">
        <w:rPr>
          <w:rFonts w:ascii="Times New Roman" w:hAnsi="Times New Roman"/>
          <w:sz w:val="20"/>
          <w:szCs w:val="20"/>
        </w:rPr>
        <w:t>non-LTE</w:t>
      </w:r>
      <w:r>
        <w:rPr>
          <w:rFonts w:ascii="Times New Roman" w:hAnsi="Times New Roman"/>
          <w:sz w:val="20"/>
          <w:szCs w:val="20"/>
        </w:rPr>
        <w:t xml:space="preserve"> use. </w:t>
      </w:r>
      <w:r w:rsidR="00A9059C">
        <w:rPr>
          <w:rFonts w:ascii="Times New Roman" w:hAnsi="Times New Roman"/>
          <w:sz w:val="20"/>
          <w:szCs w:val="20"/>
        </w:rPr>
        <w:t>M</w:t>
      </w:r>
      <w:r w:rsidR="00C1008E">
        <w:rPr>
          <w:rFonts w:ascii="Times New Roman" w:hAnsi="Times New Roman"/>
          <w:sz w:val="20"/>
          <w:szCs w:val="20"/>
        </w:rPr>
        <w:t>ost importantly, clearing part of the LTE uplink carrier for other</w:t>
      </w:r>
      <w:r w:rsidR="00A9059C">
        <w:rPr>
          <w:rFonts w:ascii="Times New Roman" w:hAnsi="Times New Roman"/>
          <w:sz w:val="20"/>
          <w:szCs w:val="20"/>
        </w:rPr>
        <w:t>, non-LTE</w:t>
      </w:r>
      <w:r w:rsidR="00C1008E">
        <w:rPr>
          <w:rFonts w:ascii="Times New Roman" w:hAnsi="Times New Roman"/>
          <w:sz w:val="20"/>
          <w:szCs w:val="20"/>
        </w:rPr>
        <w:t xml:space="preserve"> transmissions in this manner is standar</w:t>
      </w:r>
      <w:r w:rsidR="00A9059C">
        <w:rPr>
          <w:rFonts w:ascii="Times New Roman" w:hAnsi="Times New Roman"/>
          <w:sz w:val="20"/>
          <w:szCs w:val="20"/>
        </w:rPr>
        <w:t>ds-transparent and the existin</w:t>
      </w:r>
      <w:r w:rsidR="00AD3A5E">
        <w:rPr>
          <w:rFonts w:ascii="Times New Roman" w:hAnsi="Times New Roman"/>
          <w:sz w:val="20"/>
          <w:szCs w:val="20"/>
        </w:rPr>
        <w:t>g</w:t>
      </w:r>
      <w:r w:rsidR="00A9059C">
        <w:rPr>
          <w:rFonts w:ascii="Times New Roman" w:hAnsi="Times New Roman"/>
          <w:sz w:val="20"/>
          <w:szCs w:val="20"/>
        </w:rPr>
        <w:t xml:space="preserve"> LTE d</w:t>
      </w:r>
      <w:r w:rsidR="00C1008E">
        <w:rPr>
          <w:rFonts w:ascii="Times New Roman" w:hAnsi="Times New Roman"/>
          <w:sz w:val="20"/>
          <w:szCs w:val="20"/>
        </w:rPr>
        <w:t xml:space="preserve">evice base is not impacted. </w:t>
      </w:r>
      <w:r w:rsidR="0087745F">
        <w:rPr>
          <w:rFonts w:ascii="Times New Roman" w:hAnsi="Times New Roman"/>
          <w:sz w:val="20"/>
          <w:szCs w:val="20"/>
        </w:rPr>
        <w:t xml:space="preserve">The usage of NR uplink transmissions inside the LTE uplink carrier naturally requires coordination between LTE and NR, so functional, but not standards related, modifications to the LTE </w:t>
      </w:r>
      <w:r w:rsidR="00AD3A5E">
        <w:rPr>
          <w:rFonts w:ascii="Times New Roman" w:hAnsi="Times New Roman"/>
          <w:sz w:val="20"/>
          <w:szCs w:val="20"/>
        </w:rPr>
        <w:t xml:space="preserve">eNB </w:t>
      </w:r>
      <w:r w:rsidR="0087745F">
        <w:rPr>
          <w:rFonts w:ascii="Times New Roman" w:hAnsi="Times New Roman"/>
          <w:sz w:val="20"/>
          <w:szCs w:val="20"/>
        </w:rPr>
        <w:t>are required.</w:t>
      </w:r>
    </w:p>
    <w:p w14:paraId="494DD798" w14:textId="77777777" w:rsidR="00C1008E" w:rsidRDefault="00C1008E" w:rsidP="00C1008E">
      <w:pPr>
        <w:jc w:val="both"/>
        <w:rPr>
          <w:rFonts w:ascii="Times New Roman" w:hAnsi="Times New Roman"/>
          <w:sz w:val="20"/>
          <w:szCs w:val="20"/>
        </w:rPr>
      </w:pPr>
      <w:r>
        <w:rPr>
          <w:rFonts w:ascii="Times New Roman" w:hAnsi="Times New Roman"/>
          <w:sz w:val="20"/>
          <w:szCs w:val="20"/>
        </w:rPr>
        <w:t xml:space="preserve">The important aspects that need to be ensured </w:t>
      </w:r>
      <w:r w:rsidR="00A9059C">
        <w:rPr>
          <w:rFonts w:ascii="Times New Roman" w:hAnsi="Times New Roman"/>
          <w:sz w:val="20"/>
          <w:szCs w:val="20"/>
        </w:rPr>
        <w:t xml:space="preserve">in 3GPP RAN1 </w:t>
      </w:r>
      <w:r>
        <w:rPr>
          <w:rFonts w:ascii="Times New Roman" w:hAnsi="Times New Roman"/>
          <w:sz w:val="20"/>
          <w:szCs w:val="20"/>
        </w:rPr>
        <w:t>in the NR design for it to be able to unintrusively coexist inside the freed part of the LTE carrier are in many respects already assumed as the baseline</w:t>
      </w:r>
      <w:r w:rsidR="00A9059C">
        <w:rPr>
          <w:rFonts w:ascii="Times New Roman" w:hAnsi="Times New Roman"/>
          <w:sz w:val="20"/>
          <w:szCs w:val="20"/>
        </w:rPr>
        <w:t xml:space="preserve"> for the L1 NR design:</w:t>
      </w:r>
    </w:p>
    <w:p w14:paraId="4A54D11D" w14:textId="77777777" w:rsidR="00C1008E" w:rsidRDefault="00C1008E" w:rsidP="00C1008E">
      <w:pPr>
        <w:pStyle w:val="ListParagraph"/>
        <w:numPr>
          <w:ilvl w:val="0"/>
          <w:numId w:val="25"/>
        </w:numPr>
        <w:jc w:val="both"/>
        <w:rPr>
          <w:rFonts w:ascii="Times New Roman" w:hAnsi="Times New Roman"/>
          <w:sz w:val="20"/>
          <w:szCs w:val="20"/>
        </w:rPr>
      </w:pPr>
      <w:r>
        <w:rPr>
          <w:rFonts w:ascii="Times New Roman" w:hAnsi="Times New Roman"/>
          <w:sz w:val="20"/>
          <w:szCs w:val="20"/>
        </w:rPr>
        <w:t>Configurable PRACH location in frequency</w:t>
      </w:r>
    </w:p>
    <w:p w14:paraId="32E718C8" w14:textId="5EF717FC" w:rsidR="00C1008E" w:rsidRDefault="00C1008E" w:rsidP="00C1008E">
      <w:pPr>
        <w:pStyle w:val="ListParagraph"/>
        <w:numPr>
          <w:ilvl w:val="0"/>
          <w:numId w:val="25"/>
        </w:numPr>
        <w:jc w:val="both"/>
        <w:rPr>
          <w:rFonts w:ascii="Times New Roman" w:hAnsi="Times New Roman"/>
          <w:sz w:val="20"/>
          <w:szCs w:val="20"/>
        </w:rPr>
      </w:pPr>
      <w:r>
        <w:rPr>
          <w:rFonts w:ascii="Times New Roman" w:hAnsi="Times New Roman"/>
          <w:sz w:val="20"/>
          <w:szCs w:val="20"/>
        </w:rPr>
        <w:t xml:space="preserve">Configurable </w:t>
      </w:r>
      <w:r w:rsidR="00AD3A5E">
        <w:rPr>
          <w:rFonts w:ascii="Times New Roman" w:hAnsi="Times New Roman"/>
          <w:sz w:val="20"/>
          <w:szCs w:val="20"/>
        </w:rPr>
        <w:t xml:space="preserve">PUCCH </w:t>
      </w:r>
      <w:r>
        <w:rPr>
          <w:rFonts w:ascii="Times New Roman" w:hAnsi="Times New Roman"/>
          <w:sz w:val="20"/>
          <w:szCs w:val="20"/>
        </w:rPr>
        <w:t>location in frequency</w:t>
      </w:r>
    </w:p>
    <w:p w14:paraId="66AE82ED" w14:textId="77777777" w:rsidR="00C1008E" w:rsidRDefault="00C1008E" w:rsidP="00C1008E">
      <w:pPr>
        <w:pStyle w:val="ListParagraph"/>
        <w:numPr>
          <w:ilvl w:val="0"/>
          <w:numId w:val="25"/>
        </w:numPr>
        <w:jc w:val="both"/>
        <w:rPr>
          <w:rFonts w:ascii="Times New Roman" w:hAnsi="Times New Roman"/>
          <w:sz w:val="20"/>
          <w:szCs w:val="20"/>
        </w:rPr>
      </w:pPr>
      <w:r>
        <w:rPr>
          <w:rFonts w:ascii="Times New Roman" w:hAnsi="Times New Roman"/>
          <w:sz w:val="20"/>
          <w:szCs w:val="20"/>
        </w:rPr>
        <w:t>Frequency-localized NR-PUSCH transmissions</w:t>
      </w:r>
    </w:p>
    <w:p w14:paraId="4FE1A8DF" w14:textId="77777777" w:rsidR="0087745F" w:rsidRPr="0087745F" w:rsidRDefault="0087745F" w:rsidP="0087745F">
      <w:pPr>
        <w:jc w:val="both"/>
        <w:rPr>
          <w:rFonts w:ascii="Times New Roman" w:hAnsi="Times New Roman"/>
          <w:sz w:val="20"/>
          <w:szCs w:val="20"/>
        </w:rPr>
      </w:pPr>
    </w:p>
    <w:p w14:paraId="1F1846A2" w14:textId="29A567A4" w:rsidR="0087745F" w:rsidRDefault="0087745F" w:rsidP="0087745F">
      <w:pPr>
        <w:jc w:val="both"/>
        <w:rPr>
          <w:rFonts w:ascii="Times New Roman" w:hAnsi="Times New Roman"/>
          <w:sz w:val="20"/>
          <w:szCs w:val="20"/>
        </w:rPr>
      </w:pPr>
      <w:r>
        <w:rPr>
          <w:rFonts w:ascii="Times New Roman" w:hAnsi="Times New Roman"/>
          <w:sz w:val="20"/>
          <w:szCs w:val="20"/>
        </w:rPr>
        <w:t xml:space="preserve">Now considerind specifically the following </w:t>
      </w:r>
      <w:r w:rsidR="00426DBC">
        <w:rPr>
          <w:rFonts w:ascii="Times New Roman" w:hAnsi="Times New Roman"/>
          <w:sz w:val="20"/>
          <w:szCs w:val="20"/>
        </w:rPr>
        <w:t>bullet-point</w:t>
      </w:r>
      <w:r>
        <w:rPr>
          <w:rFonts w:ascii="Times New Roman" w:hAnsi="Times New Roman"/>
          <w:sz w:val="20"/>
          <w:szCs w:val="20"/>
        </w:rPr>
        <w:t xml:space="preserve"> described in </w:t>
      </w:r>
      <w:r w:rsidR="00E36C2F">
        <w:rPr>
          <w:rFonts w:ascii="Times New Roman" w:hAnsi="Times New Roman"/>
          <w:sz w:val="20"/>
          <w:szCs w:val="20"/>
        </w:rPr>
        <w:t>the WID [1]</w:t>
      </w:r>
    </w:p>
    <w:p w14:paraId="7F4CB386" w14:textId="49D7D8AC" w:rsidR="00426DBC" w:rsidRDefault="00426DBC" w:rsidP="006E2CD6">
      <w:pPr>
        <w:overflowPunct w:val="0"/>
        <w:autoSpaceDE w:val="0"/>
        <w:autoSpaceDN w:val="0"/>
        <w:adjustRightInd w:val="0"/>
        <w:spacing w:after="180" w:line="240" w:lineRule="auto"/>
        <w:ind w:left="852" w:hanging="284"/>
        <w:textAlignment w:val="baseline"/>
        <w:rPr>
          <w:rFonts w:ascii="Times New Roman" w:eastAsia="MS Mincho" w:hAnsi="Times New Roman" w:cs="Times New Roman"/>
          <w:color w:val="5B9BD5" w:themeColor="accent5"/>
          <w:sz w:val="20"/>
          <w:szCs w:val="20"/>
          <w:lang w:eastAsia="ja-JP"/>
        </w:rPr>
      </w:pPr>
      <w:r>
        <w:rPr>
          <w:rFonts w:ascii="Times New Roman" w:eastAsia="MS Mincho" w:hAnsi="Times New Roman" w:cs="Times New Roman"/>
          <w:color w:val="5B9BD5" w:themeColor="accent5"/>
          <w:sz w:val="20"/>
          <w:szCs w:val="20"/>
          <w:lang w:val="en-GB" w:eastAsia="ja-JP"/>
        </w:rPr>
        <w:t>-</w:t>
      </w:r>
      <w:r>
        <w:rPr>
          <w:rFonts w:ascii="Times New Roman" w:eastAsia="MS Mincho" w:hAnsi="Times New Roman" w:cs="Times New Roman"/>
          <w:color w:val="5B9BD5" w:themeColor="accent5"/>
          <w:sz w:val="20"/>
          <w:szCs w:val="20"/>
          <w:lang w:val="en-GB" w:eastAsia="ja-JP"/>
        </w:rPr>
        <w:tab/>
      </w:r>
      <w:r w:rsidRPr="00CA7FEF">
        <w:rPr>
          <w:rFonts w:ascii="Times New Roman" w:eastAsia="MS Mincho" w:hAnsi="Times New Roman" w:cs="Times New Roman"/>
          <w:color w:val="5B9BD5" w:themeColor="accent5"/>
          <w:sz w:val="20"/>
          <w:szCs w:val="20"/>
          <w:lang w:val="en-GB" w:eastAsia="ja-JP"/>
        </w:rPr>
        <w:t>Support co-existence of LTE UL and NR UL within the bandwidth of an LTE component carrier</w:t>
      </w:r>
      <w:r w:rsidRPr="00CA7FEF">
        <w:rPr>
          <w:rFonts w:ascii="Times New Roman" w:eastAsia="MS Mincho" w:hAnsi="Times New Roman" w:cs="Times New Roman" w:hint="eastAsia"/>
          <w:color w:val="5B9BD5" w:themeColor="accent5"/>
          <w:sz w:val="20"/>
          <w:szCs w:val="20"/>
          <w:lang w:val="en-GB" w:eastAsia="ja-JP"/>
        </w:rPr>
        <w:t xml:space="preserve"> </w:t>
      </w:r>
      <w:r>
        <w:rPr>
          <w:rFonts w:ascii="Times New Roman" w:eastAsia="MS Mincho" w:hAnsi="Times New Roman" w:cs="Times New Roman"/>
          <w:color w:val="5B9BD5" w:themeColor="accent5"/>
          <w:sz w:val="20"/>
          <w:szCs w:val="20"/>
          <w:lang w:val="en-GB" w:eastAsia="ja-JP"/>
        </w:rPr>
        <w:t>[…]</w:t>
      </w:r>
    </w:p>
    <w:p w14:paraId="28517A86" w14:textId="5A3A07DE" w:rsidR="00426DBC" w:rsidRPr="00CA7FEF" w:rsidRDefault="00426DBC" w:rsidP="00426DBC">
      <w:pPr>
        <w:overflowPunct w:val="0"/>
        <w:autoSpaceDE w:val="0"/>
        <w:autoSpaceDN w:val="0"/>
        <w:adjustRightInd w:val="0"/>
        <w:spacing w:after="180" w:line="240" w:lineRule="auto"/>
        <w:ind w:left="1135" w:hanging="284"/>
        <w:textAlignment w:val="baseline"/>
        <w:rPr>
          <w:rFonts w:ascii="Times New Roman" w:eastAsia="MS Mincho" w:hAnsi="Times New Roman" w:cs="Times New Roman"/>
          <w:color w:val="5B9BD5" w:themeColor="accent5"/>
          <w:sz w:val="20"/>
          <w:szCs w:val="20"/>
          <w:lang w:eastAsia="ja-JP"/>
        </w:rPr>
      </w:pPr>
      <w:r w:rsidRPr="00CA7FEF">
        <w:rPr>
          <w:rFonts w:ascii="Times New Roman" w:eastAsia="MS Mincho" w:hAnsi="Times New Roman" w:cs="Times New Roman" w:hint="eastAsia"/>
          <w:color w:val="5B9BD5" w:themeColor="accent5"/>
          <w:sz w:val="20"/>
          <w:szCs w:val="20"/>
          <w:lang w:eastAsia="ja-JP"/>
        </w:rPr>
        <w:t>-</w:t>
      </w:r>
      <w:r w:rsidRPr="00CA7FEF">
        <w:rPr>
          <w:rFonts w:ascii="Times New Roman" w:eastAsia="MS Mincho" w:hAnsi="Times New Roman" w:cs="Times New Roman" w:hint="eastAsia"/>
          <w:color w:val="5B9BD5" w:themeColor="accent5"/>
          <w:sz w:val="20"/>
          <w:szCs w:val="20"/>
          <w:lang w:eastAsia="ja-JP"/>
        </w:rPr>
        <w:tab/>
      </w:r>
      <w:r w:rsidRPr="00CA7FEF">
        <w:rPr>
          <w:rFonts w:ascii="Times New Roman" w:eastAsia="MS Mincho" w:hAnsi="Times New Roman" w:cs="Times New Roman"/>
          <w:color w:val="5B9BD5" w:themeColor="accent5"/>
          <w:sz w:val="20"/>
          <w:szCs w:val="20"/>
          <w:lang w:eastAsia="ja-JP"/>
        </w:rPr>
        <w:t>No implication that UE has to support simultaneous connection of NR and LTE in the bandwidth of an LTE component carrier</w:t>
      </w:r>
    </w:p>
    <w:p w14:paraId="12744FED" w14:textId="1BFA9D7F" w:rsidR="00426DBC" w:rsidRDefault="008D4ACA" w:rsidP="0087745F">
      <w:pPr>
        <w:jc w:val="both"/>
        <w:rPr>
          <w:rFonts w:ascii="Times New Roman" w:hAnsi="Times New Roman"/>
          <w:sz w:val="20"/>
          <w:szCs w:val="20"/>
        </w:rPr>
      </w:pPr>
      <w:r>
        <w:rPr>
          <w:rFonts w:ascii="Times New Roman" w:hAnsi="Times New Roman"/>
          <w:sz w:val="20"/>
          <w:szCs w:val="20"/>
        </w:rPr>
        <w:t>D</w:t>
      </w:r>
      <w:r w:rsidR="008D657A">
        <w:rPr>
          <w:rFonts w:ascii="Times New Roman" w:hAnsi="Times New Roman"/>
          <w:sz w:val="20"/>
          <w:szCs w:val="20"/>
        </w:rPr>
        <w:t>uring the SI discussions, and</w:t>
      </w:r>
      <w:r w:rsidR="00CD3714">
        <w:rPr>
          <w:rFonts w:ascii="Times New Roman" w:hAnsi="Times New Roman"/>
          <w:sz w:val="20"/>
          <w:szCs w:val="20"/>
        </w:rPr>
        <w:t xml:space="preserve"> as captured in thr TR38.912 [2], the shared uplink carrier should complement an existing, non-shared stand-alone NR carrier</w:t>
      </w:r>
      <w:r w:rsidR="00134BBF">
        <w:rPr>
          <w:rFonts w:ascii="Times New Roman" w:hAnsi="Times New Roman"/>
          <w:sz w:val="20"/>
          <w:szCs w:val="20"/>
        </w:rPr>
        <w:t xml:space="preserve"> that should be able to serve UEs independently</w:t>
      </w:r>
      <w:r w:rsidR="00CD3714">
        <w:rPr>
          <w:rFonts w:ascii="Times New Roman" w:hAnsi="Times New Roman"/>
          <w:sz w:val="20"/>
          <w:szCs w:val="20"/>
        </w:rPr>
        <w:t>. This is understood to mean that the design should assume stand-alone NR operation as the baseline, and the shared uplink carrier should appear to an NR UE as another possible NR uplink configuration.</w:t>
      </w:r>
      <w:r w:rsidR="00EC7C89">
        <w:rPr>
          <w:rFonts w:ascii="Times New Roman" w:hAnsi="Times New Roman"/>
          <w:sz w:val="20"/>
          <w:szCs w:val="20"/>
        </w:rPr>
        <w:t xml:space="preserve"> In other words, the </w:t>
      </w:r>
      <w:r w:rsidR="007B6B02">
        <w:rPr>
          <w:rFonts w:ascii="Times New Roman" w:hAnsi="Times New Roman"/>
          <w:sz w:val="20"/>
          <w:szCs w:val="20"/>
        </w:rPr>
        <w:t xml:space="preserve">setups depicted in figures 2 and 3 are to be supported so that the carrier F1 is shared by the LTE uplink and </w:t>
      </w:r>
      <w:r>
        <w:rPr>
          <w:rFonts w:ascii="Times New Roman" w:hAnsi="Times New Roman"/>
          <w:sz w:val="20"/>
          <w:szCs w:val="20"/>
        </w:rPr>
        <w:t xml:space="preserve">the </w:t>
      </w:r>
      <w:r w:rsidR="007B6B02">
        <w:rPr>
          <w:rFonts w:ascii="Times New Roman" w:hAnsi="Times New Roman"/>
          <w:sz w:val="20"/>
          <w:szCs w:val="20"/>
        </w:rPr>
        <w:t>NR uplink.</w:t>
      </w:r>
    </w:p>
    <w:p w14:paraId="647CC281" w14:textId="77777777" w:rsidR="007B6B02" w:rsidRDefault="007B6B02" w:rsidP="006E2CD6">
      <w:pPr>
        <w:keepNext/>
        <w:jc w:val="center"/>
      </w:pPr>
      <w:r>
        <w:rPr>
          <w:rFonts w:ascii="Times New Roman" w:hAnsi="Times New Roman"/>
          <w:noProof/>
          <w:sz w:val="20"/>
          <w:szCs w:val="20"/>
        </w:rPr>
        <w:drawing>
          <wp:inline distT="0" distB="0" distL="0" distR="0" wp14:anchorId="6A788D75" wp14:editId="73183F19">
            <wp:extent cx="2502000" cy="192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02000" cy="1926000"/>
                    </a:xfrm>
                    <a:prstGeom prst="rect">
                      <a:avLst/>
                    </a:prstGeom>
                    <a:noFill/>
                  </pic:spPr>
                </pic:pic>
              </a:graphicData>
            </a:graphic>
          </wp:inline>
        </w:drawing>
      </w:r>
    </w:p>
    <w:p w14:paraId="657F98E7" w14:textId="67C09842" w:rsidR="00EC7C89" w:rsidRDefault="007B6B02" w:rsidP="006E2CD6">
      <w:pPr>
        <w:pStyle w:val="Caption"/>
        <w:spacing w:before="0"/>
        <w:jc w:val="center"/>
      </w:pPr>
      <w:r>
        <w:t xml:space="preserve">Figure </w:t>
      </w:r>
      <w:r>
        <w:fldChar w:fldCharType="begin"/>
      </w:r>
      <w:r>
        <w:instrText xml:space="preserve"> SEQ Figure \* ARABIC </w:instrText>
      </w:r>
      <w:r>
        <w:fldChar w:fldCharType="separate"/>
      </w:r>
      <w:r>
        <w:rPr>
          <w:noProof/>
        </w:rPr>
        <w:t>2</w:t>
      </w:r>
      <w:r>
        <w:fldChar w:fldCharType="end"/>
      </w:r>
      <w:r w:rsidRPr="006E2CD6">
        <w:rPr>
          <w:lang w:val="en-US"/>
        </w:rPr>
        <w:t>: Shared UL carrier (F2) in a collocated LTE+NR BTS deployment</w:t>
      </w:r>
    </w:p>
    <w:p w14:paraId="629E1B47" w14:textId="77777777" w:rsidR="007B6B02" w:rsidRPr="006E2CD6" w:rsidRDefault="007B6B02" w:rsidP="006E2CD6">
      <w:pPr>
        <w:rPr>
          <w:lang w:eastAsia="x-none"/>
        </w:rPr>
      </w:pPr>
    </w:p>
    <w:p w14:paraId="3552CC9A" w14:textId="759790FA" w:rsidR="007B6B02" w:rsidRDefault="007B6B02" w:rsidP="006E2CD6">
      <w:pPr>
        <w:jc w:val="center"/>
        <w:rPr>
          <w:rFonts w:ascii="Times New Roman" w:hAnsi="Times New Roman"/>
          <w:sz w:val="20"/>
          <w:szCs w:val="20"/>
        </w:rPr>
      </w:pPr>
      <w:r>
        <w:rPr>
          <w:rFonts w:ascii="Times New Roman" w:hAnsi="Times New Roman"/>
          <w:noProof/>
          <w:sz w:val="20"/>
          <w:szCs w:val="20"/>
        </w:rPr>
        <w:drawing>
          <wp:inline distT="0" distB="0" distL="0" distR="0" wp14:anchorId="322AD03A" wp14:editId="0439A7E8">
            <wp:extent cx="5205600" cy="125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5600" cy="1256400"/>
                    </a:xfrm>
                    <a:prstGeom prst="rect">
                      <a:avLst/>
                    </a:prstGeom>
                    <a:noFill/>
                  </pic:spPr>
                </pic:pic>
              </a:graphicData>
            </a:graphic>
          </wp:inline>
        </w:drawing>
      </w:r>
    </w:p>
    <w:p w14:paraId="0502889F" w14:textId="7770D854" w:rsidR="007B6B02" w:rsidRDefault="007B6B02" w:rsidP="007B6B02">
      <w:pPr>
        <w:pStyle w:val="Caption"/>
        <w:jc w:val="center"/>
        <w:rPr>
          <w:rFonts w:ascii="Times New Roman" w:hAnsi="Times New Roman"/>
          <w:sz w:val="20"/>
          <w:szCs w:val="20"/>
        </w:rPr>
      </w:pPr>
      <w:r>
        <w:t xml:space="preserve">Figure </w:t>
      </w:r>
      <w:r>
        <w:fldChar w:fldCharType="begin"/>
      </w:r>
      <w:r>
        <w:instrText xml:space="preserve"> SEQ Figure \* ARABIC </w:instrText>
      </w:r>
      <w:r>
        <w:fldChar w:fldCharType="separate"/>
      </w:r>
      <w:r>
        <w:rPr>
          <w:noProof/>
        </w:rPr>
        <w:t>3</w:t>
      </w:r>
      <w:r>
        <w:fldChar w:fldCharType="end"/>
      </w:r>
      <w:r w:rsidRPr="006E2CD6">
        <w:rPr>
          <w:lang w:val="en-US"/>
        </w:rPr>
        <w:t xml:space="preserve">: Shared UL carrier (F2) in a </w:t>
      </w:r>
      <w:r>
        <w:rPr>
          <w:lang w:val="en-US"/>
        </w:rPr>
        <w:t>non-collocated LTE+NR BTS deployment</w:t>
      </w:r>
    </w:p>
    <w:p w14:paraId="52A1C0E1" w14:textId="685AA9C4" w:rsidR="007B6B02" w:rsidRDefault="007B6B02" w:rsidP="006E2CD6">
      <w:pPr>
        <w:jc w:val="center"/>
        <w:rPr>
          <w:rFonts w:ascii="Times New Roman" w:hAnsi="Times New Roman"/>
          <w:sz w:val="20"/>
          <w:szCs w:val="20"/>
          <w:lang w:val="x-none"/>
        </w:rPr>
      </w:pPr>
    </w:p>
    <w:p w14:paraId="792FB6B1" w14:textId="3680931F" w:rsidR="008D4ACA" w:rsidRDefault="008D4ACA" w:rsidP="006E2CD6">
      <w:pPr>
        <w:jc w:val="center"/>
        <w:rPr>
          <w:rFonts w:ascii="Times New Roman" w:hAnsi="Times New Roman"/>
          <w:sz w:val="20"/>
          <w:szCs w:val="20"/>
          <w:lang w:val="x-none"/>
        </w:rPr>
      </w:pPr>
    </w:p>
    <w:p w14:paraId="70DEE01C" w14:textId="248993EE" w:rsidR="00DF5DC4" w:rsidRDefault="00A1185A" w:rsidP="004E30ED">
      <w:pPr>
        <w:jc w:val="both"/>
        <w:rPr>
          <w:rFonts w:ascii="Times New Roman" w:hAnsi="Times New Roman"/>
          <w:sz w:val="20"/>
          <w:szCs w:val="20"/>
        </w:rPr>
      </w:pPr>
      <w:r>
        <w:rPr>
          <w:rFonts w:ascii="Times New Roman" w:hAnsi="Times New Roman"/>
          <w:sz w:val="20"/>
          <w:szCs w:val="20"/>
        </w:rPr>
        <w:t xml:space="preserve">In </w:t>
      </w:r>
      <w:r w:rsidR="008D4ACA">
        <w:rPr>
          <w:rFonts w:ascii="Times New Roman" w:hAnsi="Times New Roman"/>
          <w:sz w:val="20"/>
          <w:szCs w:val="20"/>
        </w:rPr>
        <w:t>order to use the shared UL F1</w:t>
      </w:r>
      <w:r w:rsidR="00B32614">
        <w:rPr>
          <w:rFonts w:ascii="Times New Roman" w:hAnsi="Times New Roman"/>
          <w:sz w:val="20"/>
          <w:szCs w:val="20"/>
        </w:rPr>
        <w:t xml:space="preserve"> </w:t>
      </w:r>
      <w:r w:rsidR="007209E1">
        <w:rPr>
          <w:rFonts w:ascii="Times New Roman" w:hAnsi="Times New Roman"/>
          <w:sz w:val="20"/>
          <w:szCs w:val="20"/>
        </w:rPr>
        <w:t>for transmitting the NR uplink to</w:t>
      </w:r>
      <w:r w:rsidR="00B32614">
        <w:rPr>
          <w:rFonts w:ascii="Times New Roman" w:hAnsi="Times New Roman"/>
          <w:sz w:val="20"/>
          <w:szCs w:val="20"/>
        </w:rPr>
        <w:t>gether with NR-dedicated F2</w:t>
      </w:r>
      <w:r w:rsidR="008D4ACA">
        <w:rPr>
          <w:rFonts w:ascii="Times New Roman" w:hAnsi="Times New Roman"/>
          <w:sz w:val="20"/>
          <w:szCs w:val="20"/>
        </w:rPr>
        <w:t xml:space="preserve">, the </w:t>
      </w:r>
      <w:r w:rsidR="00DF5DC4">
        <w:rPr>
          <w:rFonts w:ascii="Times New Roman" w:hAnsi="Times New Roman"/>
          <w:sz w:val="20"/>
          <w:szCs w:val="20"/>
        </w:rPr>
        <w:t xml:space="preserve">NR PUCCH and NR PUSCH </w:t>
      </w:r>
      <w:r w:rsidR="008D4ACA">
        <w:rPr>
          <w:rFonts w:ascii="Times New Roman" w:hAnsi="Times New Roman"/>
          <w:sz w:val="20"/>
          <w:szCs w:val="20"/>
        </w:rPr>
        <w:t>need to be configured on carrier F1.</w:t>
      </w:r>
      <w:r w:rsidR="00174398">
        <w:rPr>
          <w:rFonts w:ascii="Times New Roman" w:hAnsi="Times New Roman"/>
          <w:sz w:val="20"/>
          <w:szCs w:val="20"/>
        </w:rPr>
        <w:t xml:space="preserve"> This </w:t>
      </w:r>
      <w:r w:rsidR="00B32614">
        <w:rPr>
          <w:rFonts w:ascii="Times New Roman" w:hAnsi="Times New Roman"/>
          <w:sz w:val="20"/>
          <w:szCs w:val="20"/>
        </w:rPr>
        <w:t xml:space="preserve">configuration </w:t>
      </w:r>
      <w:r w:rsidR="00174398">
        <w:rPr>
          <w:rFonts w:ascii="Times New Roman" w:hAnsi="Times New Roman"/>
          <w:sz w:val="20"/>
          <w:szCs w:val="20"/>
        </w:rPr>
        <w:t xml:space="preserve">can be made via higher layer </w:t>
      </w:r>
      <w:r w:rsidR="00B32614">
        <w:rPr>
          <w:rFonts w:ascii="Times New Roman" w:hAnsi="Times New Roman"/>
          <w:sz w:val="20"/>
          <w:szCs w:val="20"/>
        </w:rPr>
        <w:t>signaling after first accessing the NR carrier F2</w:t>
      </w:r>
      <w:r w:rsidR="00193E9A">
        <w:rPr>
          <w:rFonts w:ascii="Times New Roman" w:hAnsi="Times New Roman"/>
          <w:sz w:val="20"/>
          <w:szCs w:val="20"/>
        </w:rPr>
        <w:t xml:space="preserve">. </w:t>
      </w:r>
    </w:p>
    <w:p w14:paraId="4EE9FC31" w14:textId="35BEEE9F" w:rsidR="00174398" w:rsidRDefault="00174398" w:rsidP="006E2CD6">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gNB configures (NR) long PUCCH into predefined PRBs on carrier F1. Short PUCCH can be seen as another configuration option for </w:t>
      </w:r>
      <w:r w:rsidR="00193E9A">
        <w:rPr>
          <w:rFonts w:ascii="Times New Roman" w:hAnsi="Times New Roman"/>
          <w:sz w:val="20"/>
          <w:szCs w:val="20"/>
        </w:rPr>
        <w:t xml:space="preserve">NR </w:t>
      </w:r>
      <w:r>
        <w:rPr>
          <w:rFonts w:ascii="Times New Roman" w:hAnsi="Times New Roman"/>
          <w:sz w:val="20"/>
          <w:szCs w:val="20"/>
        </w:rPr>
        <w:t xml:space="preserve">UEs. </w:t>
      </w:r>
    </w:p>
    <w:p w14:paraId="7F644445" w14:textId="18DFFC38" w:rsidR="00D96F6F" w:rsidRDefault="00193E9A" w:rsidP="006E2CD6">
      <w:pPr>
        <w:pStyle w:val="ListParagraph"/>
        <w:numPr>
          <w:ilvl w:val="0"/>
          <w:numId w:val="28"/>
        </w:numPr>
        <w:jc w:val="both"/>
        <w:rPr>
          <w:rFonts w:ascii="Times New Roman" w:hAnsi="Times New Roman"/>
          <w:sz w:val="20"/>
          <w:szCs w:val="20"/>
        </w:rPr>
      </w:pPr>
      <w:r>
        <w:rPr>
          <w:rFonts w:ascii="Times New Roman" w:hAnsi="Times New Roman"/>
          <w:sz w:val="20"/>
          <w:szCs w:val="20"/>
        </w:rPr>
        <w:t>gNB may configure slots format</w:t>
      </w:r>
      <w:r w:rsidRPr="00193E9A">
        <w:rPr>
          <w:rFonts w:ascii="Times New Roman" w:hAnsi="Times New Roman"/>
          <w:sz w:val="20"/>
          <w:szCs w:val="20"/>
        </w:rPr>
        <w:t>, PUSCH parameters and SRS paramteres via higher layer singalling.</w:t>
      </w:r>
      <w:r w:rsidR="00D96F6F">
        <w:rPr>
          <w:rFonts w:ascii="Times New Roman" w:hAnsi="Times New Roman"/>
          <w:sz w:val="20"/>
          <w:szCs w:val="20"/>
        </w:rPr>
        <w:t xml:space="preserve"> </w:t>
      </w:r>
    </w:p>
    <w:p w14:paraId="773217C8" w14:textId="1575101B" w:rsidR="00D96F6F" w:rsidRDefault="00174398" w:rsidP="006E2CD6">
      <w:pPr>
        <w:pStyle w:val="ListParagraph"/>
        <w:numPr>
          <w:ilvl w:val="0"/>
          <w:numId w:val="28"/>
        </w:numPr>
        <w:jc w:val="both"/>
        <w:rPr>
          <w:rFonts w:ascii="Times New Roman" w:hAnsi="Times New Roman"/>
          <w:sz w:val="20"/>
          <w:szCs w:val="20"/>
        </w:rPr>
      </w:pPr>
      <w:r w:rsidRPr="00193E9A">
        <w:rPr>
          <w:rFonts w:ascii="Times New Roman" w:hAnsi="Times New Roman"/>
          <w:sz w:val="20"/>
          <w:szCs w:val="20"/>
        </w:rPr>
        <w:t>PUSCH usage</w:t>
      </w:r>
      <w:r w:rsidR="00D96F6F">
        <w:rPr>
          <w:rFonts w:ascii="Times New Roman" w:hAnsi="Times New Roman"/>
          <w:sz w:val="20"/>
          <w:szCs w:val="20"/>
        </w:rPr>
        <w:t xml:space="preserve"> on carrier F1</w:t>
      </w:r>
      <w:r w:rsidRPr="00193E9A">
        <w:rPr>
          <w:rFonts w:ascii="Times New Roman" w:hAnsi="Times New Roman"/>
          <w:sz w:val="20"/>
          <w:szCs w:val="20"/>
        </w:rPr>
        <w:t xml:space="preserve"> </w:t>
      </w:r>
      <w:r w:rsidR="00D96F6F">
        <w:rPr>
          <w:rFonts w:ascii="Times New Roman" w:hAnsi="Times New Roman"/>
          <w:sz w:val="20"/>
          <w:szCs w:val="20"/>
        </w:rPr>
        <w:t xml:space="preserve">is </w:t>
      </w:r>
      <w:r w:rsidRPr="00193E9A">
        <w:rPr>
          <w:rFonts w:ascii="Times New Roman" w:hAnsi="Times New Roman"/>
          <w:sz w:val="20"/>
          <w:szCs w:val="20"/>
        </w:rPr>
        <w:t xml:space="preserve">based on dynamic scheduling </w:t>
      </w:r>
      <w:r w:rsidR="00193E9A">
        <w:rPr>
          <w:rFonts w:ascii="Times New Roman" w:hAnsi="Times New Roman"/>
          <w:sz w:val="20"/>
          <w:szCs w:val="20"/>
        </w:rPr>
        <w:t>by</w:t>
      </w:r>
      <w:r w:rsidRPr="00193E9A">
        <w:rPr>
          <w:rFonts w:ascii="Times New Roman" w:hAnsi="Times New Roman"/>
          <w:sz w:val="20"/>
          <w:szCs w:val="20"/>
        </w:rPr>
        <w:t xml:space="preserve"> gNB</w:t>
      </w:r>
      <w:r w:rsidR="00A1185A">
        <w:rPr>
          <w:rFonts w:ascii="Times New Roman" w:hAnsi="Times New Roman"/>
          <w:sz w:val="20"/>
          <w:szCs w:val="20"/>
        </w:rPr>
        <w:t>, the gNB applies restrictions configured to it in order to avoid NR uplink transmissions colliding with LTE uplink transmissions on UL F1</w:t>
      </w:r>
      <w:r w:rsidRPr="00193E9A">
        <w:rPr>
          <w:rFonts w:ascii="Times New Roman" w:hAnsi="Times New Roman"/>
          <w:sz w:val="20"/>
          <w:szCs w:val="20"/>
        </w:rPr>
        <w:t xml:space="preserve">. </w:t>
      </w:r>
    </w:p>
    <w:p w14:paraId="521474EF" w14:textId="2DBBE898" w:rsidR="00193E9A" w:rsidRPr="00193E9A" w:rsidRDefault="00193E9A" w:rsidP="006E2CD6">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NR UL operation on carrier F1 </w:t>
      </w:r>
      <w:r w:rsidR="007209E1">
        <w:rPr>
          <w:rFonts w:ascii="Times New Roman" w:hAnsi="Times New Roman"/>
          <w:sz w:val="20"/>
          <w:szCs w:val="20"/>
        </w:rPr>
        <w:t>can be</w:t>
      </w:r>
      <w:r>
        <w:rPr>
          <w:rFonts w:ascii="Times New Roman" w:hAnsi="Times New Roman"/>
          <w:sz w:val="20"/>
          <w:szCs w:val="20"/>
        </w:rPr>
        <w:t xml:space="preserve"> based on the procedures defined for NR FDD. </w:t>
      </w:r>
    </w:p>
    <w:p w14:paraId="572EE25D" w14:textId="77777777" w:rsidR="00AD3A5E" w:rsidRPr="004E30ED" w:rsidRDefault="00AD3A5E" w:rsidP="004E30ED">
      <w:pPr>
        <w:jc w:val="both"/>
        <w:rPr>
          <w:rFonts w:ascii="Times New Roman" w:hAnsi="Times New Roman"/>
          <w:sz w:val="20"/>
          <w:szCs w:val="20"/>
        </w:rPr>
      </w:pPr>
    </w:p>
    <w:bookmarkEnd w:id="2"/>
    <w:bookmarkEnd w:id="3"/>
    <w:p w14:paraId="11D9897D" w14:textId="77777777" w:rsidR="005B6509" w:rsidRDefault="00A07F41" w:rsidP="007E0C94">
      <w:pPr>
        <w:pStyle w:val="Heading1"/>
      </w:pPr>
      <w:r>
        <w:t>3</w:t>
      </w:r>
      <w:r w:rsidR="005B6509" w:rsidRPr="00B266B0">
        <w:tab/>
        <w:t>Conclusion</w:t>
      </w:r>
      <w:r>
        <w:t>s</w:t>
      </w:r>
    </w:p>
    <w:p w14:paraId="535C9460" w14:textId="77777777" w:rsidR="007209E1" w:rsidRDefault="007209E1" w:rsidP="00A07F41">
      <w:pPr>
        <w:jc w:val="both"/>
        <w:rPr>
          <w:rFonts w:ascii="Times New Roman" w:hAnsi="Times New Roman"/>
          <w:sz w:val="20"/>
        </w:rPr>
      </w:pPr>
      <w:bookmarkStart w:id="4" w:name="OLE_LINK43"/>
      <w:bookmarkStart w:id="5" w:name="OLE_LINK44"/>
      <w:bookmarkStart w:id="6" w:name="OLE_LINK34"/>
      <w:bookmarkStart w:id="7" w:name="OLE_LINK35"/>
      <w:r>
        <w:rPr>
          <w:rFonts w:ascii="Times New Roman" w:hAnsi="Times New Roman"/>
          <w:sz w:val="20"/>
        </w:rPr>
        <w:t>In this contribution a method for making room in the LTE uplink carrier for the NR uplink transmission has been outlined. Further aspects essential to NR design enabling the NR signal transmission within the freed part of the LTE carrier. These aspects should be mostly happening in the NR design natively and should not require special NR functionality per se.</w:t>
      </w:r>
    </w:p>
    <w:p w14:paraId="0BB08C13" w14:textId="62CA92A1" w:rsidR="007209E1" w:rsidRDefault="007209E1" w:rsidP="00A07F41">
      <w:pPr>
        <w:jc w:val="both"/>
        <w:rPr>
          <w:rFonts w:ascii="Times New Roman" w:hAnsi="Times New Roman"/>
          <w:sz w:val="20"/>
        </w:rPr>
      </w:pPr>
      <w:r>
        <w:rPr>
          <w:rFonts w:ascii="Times New Roman" w:hAnsi="Times New Roman"/>
          <w:sz w:val="20"/>
        </w:rPr>
        <w:t xml:space="preserve">The functional aspects of the setup seem to be more related to configuration signaling and specific L1 changes are not foreseen at this stage of the NR work. </w:t>
      </w:r>
    </w:p>
    <w:p w14:paraId="106809A7" w14:textId="77777777" w:rsidR="006E2CD6" w:rsidRDefault="006E2CD6" w:rsidP="00A07F41">
      <w:pPr>
        <w:jc w:val="both"/>
        <w:rPr>
          <w:rFonts w:ascii="Times New Roman" w:hAnsi="Times New Roman"/>
          <w:sz w:val="20"/>
        </w:rPr>
      </w:pPr>
    </w:p>
    <w:bookmarkEnd w:id="4"/>
    <w:bookmarkEnd w:id="5"/>
    <w:bookmarkEnd w:id="6"/>
    <w:bookmarkEnd w:id="7"/>
    <w:p w14:paraId="3158BBB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42755F2" w14:textId="77777777"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RP-170855, “</w:t>
      </w:r>
      <w:r w:rsidRPr="00F938B4">
        <w:rPr>
          <w:rFonts w:ascii="Times New Roman" w:hAnsi="Times New Roman"/>
          <w:i/>
          <w:sz w:val="20"/>
        </w:rPr>
        <w:t>New WID on New Radio Access Technology</w:t>
      </w:r>
      <w:r w:rsidRPr="00F938B4">
        <w:rPr>
          <w:rFonts w:ascii="Times New Roman" w:hAnsi="Times New Roman"/>
          <w:sz w:val="20"/>
        </w:rPr>
        <w:t>”, NTT DoCoMo</w:t>
      </w:r>
    </w:p>
    <w:p w14:paraId="6418EA4C" w14:textId="237E96BC"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3GPP TR38.912, “</w:t>
      </w:r>
      <w:r w:rsidRPr="00F938B4">
        <w:rPr>
          <w:rFonts w:ascii="Times New Roman" w:hAnsi="Times New Roman"/>
          <w:i/>
          <w:sz w:val="20"/>
        </w:rPr>
        <w:t>Study on New Radio (NR) Access Technology</w:t>
      </w:r>
      <w:r w:rsidRPr="00F938B4">
        <w:rPr>
          <w:rFonts w:ascii="Times New Roman" w:hAnsi="Times New Roman"/>
          <w:sz w:val="20"/>
        </w:rPr>
        <w:t>” V1</w:t>
      </w:r>
      <w:r w:rsidR="00A54650">
        <w:rPr>
          <w:rFonts w:ascii="Times New Roman" w:hAnsi="Times New Roman"/>
          <w:sz w:val="20"/>
        </w:rPr>
        <w:t>4</w:t>
      </w:r>
      <w:bookmarkStart w:id="8" w:name="_GoBack"/>
      <w:bookmarkEnd w:id="8"/>
      <w:r w:rsidRPr="00F938B4">
        <w:rPr>
          <w:rFonts w:ascii="Times New Roman" w:hAnsi="Times New Roman"/>
          <w:sz w:val="20"/>
        </w:rPr>
        <w:t>.0.0</w:t>
      </w:r>
    </w:p>
    <w:p w14:paraId="1F712343" w14:textId="77777777" w:rsidR="00E640E3"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R1-1703194</w:t>
      </w:r>
      <w:r>
        <w:rPr>
          <w:rFonts w:ascii="Times New Roman" w:hAnsi="Times New Roman"/>
          <w:sz w:val="20"/>
        </w:rPr>
        <w:t>, “</w:t>
      </w:r>
      <w:r w:rsidRPr="00F938B4">
        <w:rPr>
          <w:rFonts w:ascii="Times New Roman" w:hAnsi="Times New Roman"/>
          <w:i/>
          <w:sz w:val="20"/>
        </w:rPr>
        <w:t>LTE + NR uplink spectrum sharing</w:t>
      </w:r>
      <w:r>
        <w:rPr>
          <w:rFonts w:ascii="Times New Roman" w:hAnsi="Times New Roman"/>
          <w:sz w:val="20"/>
        </w:rPr>
        <w:t>”, Nokia, Alcatel-Lucent Shanghai Bell</w:t>
      </w:r>
    </w:p>
    <w:p w14:paraId="6DF209EF" w14:textId="77777777" w:rsidR="005D7824" w:rsidRPr="005D7824" w:rsidRDefault="005D7824" w:rsidP="006E2CD6">
      <w:pPr>
        <w:spacing w:after="0" w:line="240" w:lineRule="auto"/>
        <w:rPr>
          <w:rFonts w:ascii="Times New Roman" w:hAnsi="Times New Roman"/>
          <w:sz w:val="20"/>
        </w:rPr>
      </w:pPr>
    </w:p>
    <w:sectPr w:rsidR="005D7824" w:rsidRPr="005D7824" w:rsidSect="00A9059C">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864EA" w14:textId="77777777" w:rsidR="00BA1BDC" w:rsidRDefault="00BA1BDC">
      <w:r>
        <w:separator/>
      </w:r>
    </w:p>
  </w:endnote>
  <w:endnote w:type="continuationSeparator" w:id="0">
    <w:p w14:paraId="32A9328C" w14:textId="77777777" w:rsidR="00BA1BDC" w:rsidRDefault="00BA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F6923" w14:textId="77777777" w:rsidR="00BA1BDC" w:rsidRDefault="00BA1BDC">
      <w:r>
        <w:separator/>
      </w:r>
    </w:p>
  </w:footnote>
  <w:footnote w:type="continuationSeparator" w:id="0">
    <w:p w14:paraId="56F687E0" w14:textId="77777777" w:rsidR="00BA1BDC" w:rsidRDefault="00BA1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13A"/>
    <w:multiLevelType w:val="hybridMultilevel"/>
    <w:tmpl w:val="8E248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14F24"/>
    <w:multiLevelType w:val="hybridMultilevel"/>
    <w:tmpl w:val="438C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3433E"/>
    <w:multiLevelType w:val="hybridMultilevel"/>
    <w:tmpl w:val="356E1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93930"/>
    <w:multiLevelType w:val="hybridMultilevel"/>
    <w:tmpl w:val="2F3ECF9A"/>
    <w:lvl w:ilvl="0" w:tplc="507ACC00">
      <w:start w:val="1"/>
      <w:numFmt w:val="bullet"/>
      <w:lvlText w:val="-"/>
      <w:lvlJc w:val="left"/>
      <w:pPr>
        <w:tabs>
          <w:tab w:val="num" w:pos="720"/>
        </w:tabs>
        <w:ind w:left="720" w:hanging="360"/>
      </w:pPr>
      <w:rPr>
        <w:rFonts w:ascii="Lucida Grande" w:hAnsi="Lucida Grande" w:hint="default"/>
      </w:rPr>
    </w:lvl>
    <w:lvl w:ilvl="1" w:tplc="CAC09F56">
      <w:start w:val="1"/>
      <w:numFmt w:val="bullet"/>
      <w:lvlText w:val="-"/>
      <w:lvlJc w:val="left"/>
      <w:pPr>
        <w:tabs>
          <w:tab w:val="num" w:pos="1440"/>
        </w:tabs>
        <w:ind w:left="1440" w:hanging="360"/>
      </w:pPr>
      <w:rPr>
        <w:rFonts w:ascii="Lucida Grande" w:hAnsi="Lucida Grande" w:hint="default"/>
      </w:rPr>
    </w:lvl>
    <w:lvl w:ilvl="2" w:tplc="4D0AEAF2" w:tentative="1">
      <w:start w:val="1"/>
      <w:numFmt w:val="bullet"/>
      <w:lvlText w:val="-"/>
      <w:lvlJc w:val="left"/>
      <w:pPr>
        <w:tabs>
          <w:tab w:val="num" w:pos="2160"/>
        </w:tabs>
        <w:ind w:left="2160" w:hanging="360"/>
      </w:pPr>
      <w:rPr>
        <w:rFonts w:ascii="Lucida Grande" w:hAnsi="Lucida Grande" w:hint="default"/>
      </w:rPr>
    </w:lvl>
    <w:lvl w:ilvl="3" w:tplc="E77AEBCC" w:tentative="1">
      <w:start w:val="1"/>
      <w:numFmt w:val="bullet"/>
      <w:lvlText w:val="-"/>
      <w:lvlJc w:val="left"/>
      <w:pPr>
        <w:tabs>
          <w:tab w:val="num" w:pos="2880"/>
        </w:tabs>
        <w:ind w:left="2880" w:hanging="360"/>
      </w:pPr>
      <w:rPr>
        <w:rFonts w:ascii="Lucida Grande" w:hAnsi="Lucida Grande" w:hint="default"/>
      </w:rPr>
    </w:lvl>
    <w:lvl w:ilvl="4" w:tplc="731C7BAC" w:tentative="1">
      <w:start w:val="1"/>
      <w:numFmt w:val="bullet"/>
      <w:lvlText w:val="-"/>
      <w:lvlJc w:val="left"/>
      <w:pPr>
        <w:tabs>
          <w:tab w:val="num" w:pos="3600"/>
        </w:tabs>
        <w:ind w:left="3600" w:hanging="360"/>
      </w:pPr>
      <w:rPr>
        <w:rFonts w:ascii="Lucida Grande" w:hAnsi="Lucida Grande" w:hint="default"/>
      </w:rPr>
    </w:lvl>
    <w:lvl w:ilvl="5" w:tplc="ECCA8EC6" w:tentative="1">
      <w:start w:val="1"/>
      <w:numFmt w:val="bullet"/>
      <w:lvlText w:val="-"/>
      <w:lvlJc w:val="left"/>
      <w:pPr>
        <w:tabs>
          <w:tab w:val="num" w:pos="4320"/>
        </w:tabs>
        <w:ind w:left="4320" w:hanging="360"/>
      </w:pPr>
      <w:rPr>
        <w:rFonts w:ascii="Lucida Grande" w:hAnsi="Lucida Grande" w:hint="default"/>
      </w:rPr>
    </w:lvl>
    <w:lvl w:ilvl="6" w:tplc="A762F0C4" w:tentative="1">
      <w:start w:val="1"/>
      <w:numFmt w:val="bullet"/>
      <w:lvlText w:val="-"/>
      <w:lvlJc w:val="left"/>
      <w:pPr>
        <w:tabs>
          <w:tab w:val="num" w:pos="5040"/>
        </w:tabs>
        <w:ind w:left="5040" w:hanging="360"/>
      </w:pPr>
      <w:rPr>
        <w:rFonts w:ascii="Lucida Grande" w:hAnsi="Lucida Grande" w:hint="default"/>
      </w:rPr>
    </w:lvl>
    <w:lvl w:ilvl="7" w:tplc="0DBE9002" w:tentative="1">
      <w:start w:val="1"/>
      <w:numFmt w:val="bullet"/>
      <w:lvlText w:val="-"/>
      <w:lvlJc w:val="left"/>
      <w:pPr>
        <w:tabs>
          <w:tab w:val="num" w:pos="5760"/>
        </w:tabs>
        <w:ind w:left="5760" w:hanging="360"/>
      </w:pPr>
      <w:rPr>
        <w:rFonts w:ascii="Lucida Grande" w:hAnsi="Lucida Grande" w:hint="default"/>
      </w:rPr>
    </w:lvl>
    <w:lvl w:ilvl="8" w:tplc="0F3AAA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2F45305"/>
    <w:multiLevelType w:val="hybridMultilevel"/>
    <w:tmpl w:val="4F840984"/>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70B4383"/>
    <w:multiLevelType w:val="hybridMultilevel"/>
    <w:tmpl w:val="0764EF3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84438"/>
    <w:multiLevelType w:val="hybridMultilevel"/>
    <w:tmpl w:val="B70E032C"/>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12"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2C3DAD"/>
    <w:multiLevelType w:val="hybridMultilevel"/>
    <w:tmpl w:val="D0E8D850"/>
    <w:lvl w:ilvl="0" w:tplc="F834AEB2">
      <w:start w:val="1"/>
      <w:numFmt w:val="bullet"/>
      <w:lvlText w:val="•"/>
      <w:lvlJc w:val="left"/>
      <w:pPr>
        <w:tabs>
          <w:tab w:val="num" w:pos="720"/>
        </w:tabs>
        <w:ind w:left="720" w:hanging="360"/>
      </w:pPr>
      <w:rPr>
        <w:rFonts w:ascii="Arial" w:hAnsi="Arial" w:hint="default"/>
      </w:rPr>
    </w:lvl>
    <w:lvl w:ilvl="1" w:tplc="7542C236">
      <w:start w:val="61"/>
      <w:numFmt w:val="bullet"/>
      <w:lvlText w:val="–"/>
      <w:lvlJc w:val="left"/>
      <w:pPr>
        <w:tabs>
          <w:tab w:val="num" w:pos="1440"/>
        </w:tabs>
        <w:ind w:left="1440" w:hanging="360"/>
      </w:pPr>
      <w:rPr>
        <w:rFonts w:ascii="Arial" w:hAnsi="Arial" w:hint="default"/>
      </w:rPr>
    </w:lvl>
    <w:lvl w:ilvl="2" w:tplc="4822B6C8">
      <w:start w:val="61"/>
      <w:numFmt w:val="bullet"/>
      <w:lvlText w:val="•"/>
      <w:lvlJc w:val="left"/>
      <w:pPr>
        <w:tabs>
          <w:tab w:val="num" w:pos="2160"/>
        </w:tabs>
        <w:ind w:left="2160" w:hanging="360"/>
      </w:pPr>
      <w:rPr>
        <w:rFonts w:ascii="Arial" w:hAnsi="Arial" w:hint="default"/>
      </w:rPr>
    </w:lvl>
    <w:lvl w:ilvl="3" w:tplc="84D09946">
      <w:start w:val="61"/>
      <w:numFmt w:val="bullet"/>
      <w:lvlText w:val="–"/>
      <w:lvlJc w:val="left"/>
      <w:pPr>
        <w:tabs>
          <w:tab w:val="num" w:pos="2880"/>
        </w:tabs>
        <w:ind w:left="2880" w:hanging="360"/>
      </w:pPr>
      <w:rPr>
        <w:rFonts w:ascii="Arial" w:hAnsi="Arial" w:hint="default"/>
      </w:rPr>
    </w:lvl>
    <w:lvl w:ilvl="4" w:tplc="C164AFBE" w:tentative="1">
      <w:start w:val="1"/>
      <w:numFmt w:val="bullet"/>
      <w:lvlText w:val="•"/>
      <w:lvlJc w:val="left"/>
      <w:pPr>
        <w:tabs>
          <w:tab w:val="num" w:pos="3600"/>
        </w:tabs>
        <w:ind w:left="3600" w:hanging="360"/>
      </w:pPr>
      <w:rPr>
        <w:rFonts w:ascii="Arial" w:hAnsi="Arial" w:hint="default"/>
      </w:rPr>
    </w:lvl>
    <w:lvl w:ilvl="5" w:tplc="B8EEF1B6" w:tentative="1">
      <w:start w:val="1"/>
      <w:numFmt w:val="bullet"/>
      <w:lvlText w:val="•"/>
      <w:lvlJc w:val="left"/>
      <w:pPr>
        <w:tabs>
          <w:tab w:val="num" w:pos="4320"/>
        </w:tabs>
        <w:ind w:left="4320" w:hanging="360"/>
      </w:pPr>
      <w:rPr>
        <w:rFonts w:ascii="Arial" w:hAnsi="Arial" w:hint="default"/>
      </w:rPr>
    </w:lvl>
    <w:lvl w:ilvl="6" w:tplc="5EDED306" w:tentative="1">
      <w:start w:val="1"/>
      <w:numFmt w:val="bullet"/>
      <w:lvlText w:val="•"/>
      <w:lvlJc w:val="left"/>
      <w:pPr>
        <w:tabs>
          <w:tab w:val="num" w:pos="5040"/>
        </w:tabs>
        <w:ind w:left="5040" w:hanging="360"/>
      </w:pPr>
      <w:rPr>
        <w:rFonts w:ascii="Arial" w:hAnsi="Arial" w:hint="default"/>
      </w:rPr>
    </w:lvl>
    <w:lvl w:ilvl="7" w:tplc="1B28587E" w:tentative="1">
      <w:start w:val="1"/>
      <w:numFmt w:val="bullet"/>
      <w:lvlText w:val="•"/>
      <w:lvlJc w:val="left"/>
      <w:pPr>
        <w:tabs>
          <w:tab w:val="num" w:pos="5760"/>
        </w:tabs>
        <w:ind w:left="5760" w:hanging="360"/>
      </w:pPr>
      <w:rPr>
        <w:rFonts w:ascii="Arial" w:hAnsi="Arial" w:hint="default"/>
      </w:rPr>
    </w:lvl>
    <w:lvl w:ilvl="8" w:tplc="3CA4D6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C0461"/>
    <w:multiLevelType w:val="hybridMultilevel"/>
    <w:tmpl w:val="F8520C3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16"/>
  </w:num>
  <w:num w:numId="4">
    <w:abstractNumId w:val="24"/>
  </w:num>
  <w:num w:numId="5">
    <w:abstractNumId w:val="26"/>
  </w:num>
  <w:num w:numId="6">
    <w:abstractNumId w:val="21"/>
  </w:num>
  <w:num w:numId="7">
    <w:abstractNumId w:val="9"/>
  </w:num>
  <w:num w:numId="8">
    <w:abstractNumId w:val="13"/>
  </w:num>
  <w:num w:numId="9">
    <w:abstractNumId w:val="19"/>
  </w:num>
  <w:num w:numId="10">
    <w:abstractNumId w:val="19"/>
    <w:lvlOverride w:ilvl="0">
      <w:startOverride w:val="1"/>
    </w:lvlOverride>
  </w:num>
  <w:num w:numId="11">
    <w:abstractNumId w:val="22"/>
  </w:num>
  <w:num w:numId="12">
    <w:abstractNumId w:val="18"/>
  </w:num>
  <w:num w:numId="13">
    <w:abstractNumId w:val="14"/>
  </w:num>
  <w:num w:numId="14">
    <w:abstractNumId w:val="20"/>
  </w:num>
  <w:num w:numId="15">
    <w:abstractNumId w:val="15"/>
  </w:num>
  <w:num w:numId="16">
    <w:abstractNumId w:val="1"/>
  </w:num>
  <w:num w:numId="17">
    <w:abstractNumId w:val="6"/>
  </w:num>
  <w:num w:numId="18">
    <w:abstractNumId w:val="5"/>
  </w:num>
  <w:num w:numId="19">
    <w:abstractNumId w:val="23"/>
  </w:num>
  <w:num w:numId="20">
    <w:abstractNumId w:val="17"/>
  </w:num>
  <w:num w:numId="21">
    <w:abstractNumId w:val="2"/>
  </w:num>
  <w:num w:numId="22">
    <w:abstractNumId w:val="12"/>
  </w:num>
  <w:num w:numId="23">
    <w:abstractNumId w:val="7"/>
  </w:num>
  <w:num w:numId="24">
    <w:abstractNumId w:val="8"/>
  </w:num>
  <w:num w:numId="25">
    <w:abstractNumId w:val="3"/>
  </w:num>
  <w:num w:numId="26">
    <w:abstractNumId w:val="0"/>
  </w:num>
  <w:num w:numId="27">
    <w:abstractNumId w:val="25"/>
  </w:num>
  <w:num w:numId="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4E4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A22"/>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77C"/>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967"/>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BBF"/>
    <w:rsid w:val="0013596D"/>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62A"/>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398"/>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3E9A"/>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4A3"/>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AC"/>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0859"/>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673"/>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F40"/>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B6D"/>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6DBC"/>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1E"/>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24"/>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0ED"/>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E44"/>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4D9"/>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824"/>
    <w:rsid w:val="005D79C5"/>
    <w:rsid w:val="005D7DE6"/>
    <w:rsid w:val="005E1368"/>
    <w:rsid w:val="005E165C"/>
    <w:rsid w:val="005E2732"/>
    <w:rsid w:val="005E3F9F"/>
    <w:rsid w:val="005E4F2B"/>
    <w:rsid w:val="005E71D0"/>
    <w:rsid w:val="005F085D"/>
    <w:rsid w:val="005F0A0B"/>
    <w:rsid w:val="005F0D07"/>
    <w:rsid w:val="005F0E4E"/>
    <w:rsid w:val="005F2719"/>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7DE"/>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88E"/>
    <w:rsid w:val="00662B01"/>
    <w:rsid w:val="00662DC9"/>
    <w:rsid w:val="00663245"/>
    <w:rsid w:val="00664540"/>
    <w:rsid w:val="00664C81"/>
    <w:rsid w:val="006652BE"/>
    <w:rsid w:val="00666086"/>
    <w:rsid w:val="0066665C"/>
    <w:rsid w:val="00667501"/>
    <w:rsid w:val="00667F37"/>
    <w:rsid w:val="00670071"/>
    <w:rsid w:val="0067015A"/>
    <w:rsid w:val="0067017C"/>
    <w:rsid w:val="00670DDA"/>
    <w:rsid w:val="00670FE6"/>
    <w:rsid w:val="006710EA"/>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E9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D6"/>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09E1"/>
    <w:rsid w:val="00720DEC"/>
    <w:rsid w:val="0072224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871"/>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24C0"/>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5BD7"/>
    <w:rsid w:val="007B6B02"/>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867"/>
    <w:rsid w:val="007D7A91"/>
    <w:rsid w:val="007D7DB7"/>
    <w:rsid w:val="007E0C94"/>
    <w:rsid w:val="007E1881"/>
    <w:rsid w:val="007E212C"/>
    <w:rsid w:val="007E3704"/>
    <w:rsid w:val="007E4062"/>
    <w:rsid w:val="007E4656"/>
    <w:rsid w:val="007E51A3"/>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45F"/>
    <w:rsid w:val="0087762D"/>
    <w:rsid w:val="00877B72"/>
    <w:rsid w:val="00880094"/>
    <w:rsid w:val="00880B0D"/>
    <w:rsid w:val="00881796"/>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32D"/>
    <w:rsid w:val="008B0564"/>
    <w:rsid w:val="008B0916"/>
    <w:rsid w:val="008B171F"/>
    <w:rsid w:val="008B275C"/>
    <w:rsid w:val="008B2E79"/>
    <w:rsid w:val="008B3AFF"/>
    <w:rsid w:val="008B3F64"/>
    <w:rsid w:val="008B4815"/>
    <w:rsid w:val="008B48CD"/>
    <w:rsid w:val="008B4EDE"/>
    <w:rsid w:val="008B5290"/>
    <w:rsid w:val="008B586D"/>
    <w:rsid w:val="008B5872"/>
    <w:rsid w:val="008B5FC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4ACA"/>
    <w:rsid w:val="008D51B2"/>
    <w:rsid w:val="008D657A"/>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813"/>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5A"/>
    <w:rsid w:val="00A118E1"/>
    <w:rsid w:val="00A1209A"/>
    <w:rsid w:val="00A12FE5"/>
    <w:rsid w:val="00A13A13"/>
    <w:rsid w:val="00A142E0"/>
    <w:rsid w:val="00A14C42"/>
    <w:rsid w:val="00A14D40"/>
    <w:rsid w:val="00A1575C"/>
    <w:rsid w:val="00A15A9B"/>
    <w:rsid w:val="00A16294"/>
    <w:rsid w:val="00A16B88"/>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650"/>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992"/>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59C"/>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714"/>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A5E"/>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614"/>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87C41"/>
    <w:rsid w:val="00B91105"/>
    <w:rsid w:val="00B924F6"/>
    <w:rsid w:val="00B92668"/>
    <w:rsid w:val="00B92D60"/>
    <w:rsid w:val="00B93008"/>
    <w:rsid w:val="00B94E0E"/>
    <w:rsid w:val="00B95E6A"/>
    <w:rsid w:val="00B95EF4"/>
    <w:rsid w:val="00B9665D"/>
    <w:rsid w:val="00B972DC"/>
    <w:rsid w:val="00B975DF"/>
    <w:rsid w:val="00B97782"/>
    <w:rsid w:val="00B97D28"/>
    <w:rsid w:val="00B97DAA"/>
    <w:rsid w:val="00B97E9E"/>
    <w:rsid w:val="00BA0682"/>
    <w:rsid w:val="00BA0943"/>
    <w:rsid w:val="00BA0C25"/>
    <w:rsid w:val="00BA1416"/>
    <w:rsid w:val="00BA185F"/>
    <w:rsid w:val="00BA1890"/>
    <w:rsid w:val="00BA1BDC"/>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2EE6"/>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BF77C2"/>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08E"/>
    <w:rsid w:val="00C1065E"/>
    <w:rsid w:val="00C123C3"/>
    <w:rsid w:val="00C1241F"/>
    <w:rsid w:val="00C1274B"/>
    <w:rsid w:val="00C13014"/>
    <w:rsid w:val="00C135E3"/>
    <w:rsid w:val="00C13D66"/>
    <w:rsid w:val="00C14541"/>
    <w:rsid w:val="00C14773"/>
    <w:rsid w:val="00C1478B"/>
    <w:rsid w:val="00C14B9D"/>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542"/>
    <w:rsid w:val="00C46D6A"/>
    <w:rsid w:val="00C47466"/>
    <w:rsid w:val="00C47944"/>
    <w:rsid w:val="00C47E13"/>
    <w:rsid w:val="00C5011A"/>
    <w:rsid w:val="00C507C9"/>
    <w:rsid w:val="00C50CAA"/>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7F"/>
    <w:rsid w:val="00CA5583"/>
    <w:rsid w:val="00CA66A8"/>
    <w:rsid w:val="00CA79B4"/>
    <w:rsid w:val="00CA7E2D"/>
    <w:rsid w:val="00CA7FEF"/>
    <w:rsid w:val="00CB02D2"/>
    <w:rsid w:val="00CB02FC"/>
    <w:rsid w:val="00CB04B7"/>
    <w:rsid w:val="00CB09DA"/>
    <w:rsid w:val="00CB0E54"/>
    <w:rsid w:val="00CB0FDB"/>
    <w:rsid w:val="00CB1068"/>
    <w:rsid w:val="00CB12DE"/>
    <w:rsid w:val="00CB1319"/>
    <w:rsid w:val="00CB1797"/>
    <w:rsid w:val="00CB1CB8"/>
    <w:rsid w:val="00CB1D02"/>
    <w:rsid w:val="00CB2326"/>
    <w:rsid w:val="00CB3B8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3714"/>
    <w:rsid w:val="00CD40C4"/>
    <w:rsid w:val="00CD41A9"/>
    <w:rsid w:val="00CD4710"/>
    <w:rsid w:val="00CD4B26"/>
    <w:rsid w:val="00CD4B77"/>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DDF"/>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388"/>
    <w:rsid w:val="00D62439"/>
    <w:rsid w:val="00D62D0A"/>
    <w:rsid w:val="00D63597"/>
    <w:rsid w:val="00D6443E"/>
    <w:rsid w:val="00D64472"/>
    <w:rsid w:val="00D653DA"/>
    <w:rsid w:val="00D655F5"/>
    <w:rsid w:val="00D66089"/>
    <w:rsid w:val="00D70107"/>
    <w:rsid w:val="00D701D6"/>
    <w:rsid w:val="00D70B9C"/>
    <w:rsid w:val="00D7181F"/>
    <w:rsid w:val="00D72111"/>
    <w:rsid w:val="00D72C5E"/>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6F"/>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A3"/>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B26"/>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F22"/>
    <w:rsid w:val="00DF0205"/>
    <w:rsid w:val="00DF11BA"/>
    <w:rsid w:val="00DF192B"/>
    <w:rsid w:val="00DF247E"/>
    <w:rsid w:val="00DF2800"/>
    <w:rsid w:val="00DF34FE"/>
    <w:rsid w:val="00DF4D29"/>
    <w:rsid w:val="00DF5DC4"/>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C2F"/>
    <w:rsid w:val="00E36DD8"/>
    <w:rsid w:val="00E3712F"/>
    <w:rsid w:val="00E37E19"/>
    <w:rsid w:val="00E40057"/>
    <w:rsid w:val="00E4060A"/>
    <w:rsid w:val="00E40D62"/>
    <w:rsid w:val="00E41083"/>
    <w:rsid w:val="00E41430"/>
    <w:rsid w:val="00E43B5F"/>
    <w:rsid w:val="00E43F8E"/>
    <w:rsid w:val="00E44D5C"/>
    <w:rsid w:val="00E4558F"/>
    <w:rsid w:val="00E45FB6"/>
    <w:rsid w:val="00E46037"/>
    <w:rsid w:val="00E464DA"/>
    <w:rsid w:val="00E4675F"/>
    <w:rsid w:val="00E469DD"/>
    <w:rsid w:val="00E47226"/>
    <w:rsid w:val="00E5039C"/>
    <w:rsid w:val="00E50616"/>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0E3"/>
    <w:rsid w:val="00E646E3"/>
    <w:rsid w:val="00E65B52"/>
    <w:rsid w:val="00E66098"/>
    <w:rsid w:val="00E664B1"/>
    <w:rsid w:val="00E6686F"/>
    <w:rsid w:val="00E674C4"/>
    <w:rsid w:val="00E675D3"/>
    <w:rsid w:val="00E67C1A"/>
    <w:rsid w:val="00E70D1D"/>
    <w:rsid w:val="00E71E56"/>
    <w:rsid w:val="00E723A7"/>
    <w:rsid w:val="00E7338E"/>
    <w:rsid w:val="00E73EAD"/>
    <w:rsid w:val="00E74212"/>
    <w:rsid w:val="00E744E6"/>
    <w:rsid w:val="00E748A8"/>
    <w:rsid w:val="00E74DCB"/>
    <w:rsid w:val="00E763E0"/>
    <w:rsid w:val="00E7679C"/>
    <w:rsid w:val="00E769F7"/>
    <w:rsid w:val="00E76A94"/>
    <w:rsid w:val="00E76DAC"/>
    <w:rsid w:val="00E7723E"/>
    <w:rsid w:val="00E77EDE"/>
    <w:rsid w:val="00E805E0"/>
    <w:rsid w:val="00E814CD"/>
    <w:rsid w:val="00E81BA0"/>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7D6"/>
    <w:rsid w:val="00E93A02"/>
    <w:rsid w:val="00E93B8C"/>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7"/>
    <w:rsid w:val="00EA601F"/>
    <w:rsid w:val="00EA6746"/>
    <w:rsid w:val="00EA709C"/>
    <w:rsid w:val="00EA70ED"/>
    <w:rsid w:val="00EA719A"/>
    <w:rsid w:val="00EB002D"/>
    <w:rsid w:val="00EB005C"/>
    <w:rsid w:val="00EB1743"/>
    <w:rsid w:val="00EB19F9"/>
    <w:rsid w:val="00EB241D"/>
    <w:rsid w:val="00EB2D87"/>
    <w:rsid w:val="00EB2E14"/>
    <w:rsid w:val="00EB36D4"/>
    <w:rsid w:val="00EB3773"/>
    <w:rsid w:val="00EB3D4B"/>
    <w:rsid w:val="00EB3F39"/>
    <w:rsid w:val="00EB584A"/>
    <w:rsid w:val="00EB5AE2"/>
    <w:rsid w:val="00EB6399"/>
    <w:rsid w:val="00EB6AC8"/>
    <w:rsid w:val="00EB728A"/>
    <w:rsid w:val="00EB763C"/>
    <w:rsid w:val="00EC1BA5"/>
    <w:rsid w:val="00EC1E9A"/>
    <w:rsid w:val="00EC2192"/>
    <w:rsid w:val="00EC3E5F"/>
    <w:rsid w:val="00EC43ED"/>
    <w:rsid w:val="00EC5328"/>
    <w:rsid w:val="00EC55BB"/>
    <w:rsid w:val="00EC5AB8"/>
    <w:rsid w:val="00EC5E19"/>
    <w:rsid w:val="00EC67C5"/>
    <w:rsid w:val="00EC71DA"/>
    <w:rsid w:val="00EC75AE"/>
    <w:rsid w:val="00EC7C89"/>
    <w:rsid w:val="00EC7DB7"/>
    <w:rsid w:val="00EC7DDF"/>
    <w:rsid w:val="00EC7E48"/>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0BBA"/>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6A"/>
    <w:rsid w:val="00F01C15"/>
    <w:rsid w:val="00F02218"/>
    <w:rsid w:val="00F0264D"/>
    <w:rsid w:val="00F03384"/>
    <w:rsid w:val="00F036D7"/>
    <w:rsid w:val="00F04024"/>
    <w:rsid w:val="00F04563"/>
    <w:rsid w:val="00F0670C"/>
    <w:rsid w:val="00F07253"/>
    <w:rsid w:val="00F073BA"/>
    <w:rsid w:val="00F0756C"/>
    <w:rsid w:val="00F07B59"/>
    <w:rsid w:val="00F10410"/>
    <w:rsid w:val="00F10E9A"/>
    <w:rsid w:val="00F113C1"/>
    <w:rsid w:val="00F11CCC"/>
    <w:rsid w:val="00F11E56"/>
    <w:rsid w:val="00F11EDB"/>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507"/>
    <w:rsid w:val="00F86745"/>
    <w:rsid w:val="00F8680B"/>
    <w:rsid w:val="00F86A4B"/>
    <w:rsid w:val="00F8730F"/>
    <w:rsid w:val="00F8735D"/>
    <w:rsid w:val="00F87C0E"/>
    <w:rsid w:val="00F9063A"/>
    <w:rsid w:val="00F909CA"/>
    <w:rsid w:val="00F90A62"/>
    <w:rsid w:val="00F91321"/>
    <w:rsid w:val="00F92443"/>
    <w:rsid w:val="00F938B4"/>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0ED7"/>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5BA72"/>
  <w15:chartTrackingRefBased/>
  <w15:docId w15:val="{EF05F0BF-75F9-4DCB-BF4A-F322BF28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5465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546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65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E640E3"/>
    <w:rPr>
      <w:rFonts w:ascii="Courier New" w:hAnsi="Courier New"/>
      <w:noProof/>
      <w:sz w:val="16"/>
      <w:lang w:val="en-US" w:eastAsia="en-US"/>
    </w:rPr>
  </w:style>
  <w:style w:type="character" w:customStyle="1" w:styleId="THChar">
    <w:name w:val="TH Char"/>
    <w:link w:val="TH"/>
    <w:rsid w:val="00E640E3"/>
    <w:rPr>
      <w:rFonts w:ascii="Arial" w:eastAsia="Calibri" w:hAnsi="Arial"/>
      <w:b/>
      <w:sz w:val="22"/>
      <w:szCs w:val="22"/>
      <w:lang w:val="en-GB" w:eastAsia="en-US"/>
    </w:rPr>
  </w:style>
  <w:style w:type="character" w:customStyle="1" w:styleId="HeaderChar">
    <w:name w:val="Header Char"/>
    <w:aliases w:val="header odd Char"/>
    <w:link w:val="Header"/>
    <w:rsid w:val="0013596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281975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A4B7F6B2-9CFC-41EF-B7C7-958A7793DE3A}">
  <ds:schemaRefs>
    <ds:schemaRef ds:uri="http://schemas.microsoft.com/office/2006/metadata/longProperties"/>
  </ds:schemaRefs>
</ds:datastoreItem>
</file>

<file path=customXml/itemProps2.xml><?xml version="1.0" encoding="utf-8"?>
<ds:datastoreItem xmlns:ds="http://schemas.openxmlformats.org/officeDocument/2006/customXml" ds:itemID="{BEE78733-FF78-4478-A70E-8388C278C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FC391D-8412-4E9D-A1DC-B4E6CEEB2719}">
  <ds:schemaRefs>
    <ds:schemaRef ds:uri="http://schemas.microsoft.com/sharepoint/v3/contenttype/forms"/>
  </ds:schemaRefs>
</ds:datastoreItem>
</file>

<file path=customXml/itemProps4.xml><?xml version="1.0" encoding="utf-8"?>
<ds:datastoreItem xmlns:ds="http://schemas.openxmlformats.org/officeDocument/2006/customXml" ds:itemID="{47E9AB09-5476-4C2C-81F1-EE342DC817E3}">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D4F7D4C8-AC37-4F02-A62C-4C0CEAE6A4BE}">
  <ds:schemaRefs>
    <ds:schemaRef ds:uri="http://schemas.microsoft.com/sharepoint/events"/>
  </ds:schemaRefs>
</ds:datastoreItem>
</file>

<file path=customXml/itemProps6.xml><?xml version="1.0" encoding="utf-8"?>
<ds:datastoreItem xmlns:ds="http://schemas.openxmlformats.org/officeDocument/2006/customXml" ds:itemID="{FFA703BE-0418-44C1-A4A7-66C7C9A71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4</cp:revision>
  <dcterms:created xsi:type="dcterms:W3CDTF">2017-03-24T15:36:00Z</dcterms:created>
  <dcterms:modified xsi:type="dcterms:W3CDTF">2017-03-24T17:57:00Z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SP-5AIRPNAIUNRU-1830940522-148</vt:lpwstr>
  </property>
  <property fmtid="{D5CDD505-2E9C-101B-9397-08002B2CF9AE}" pid="7" name="_dlc_DocIdItemGuid">
    <vt:lpwstr>f6c7e1e5-84ba-44ac-a08d-e725fdba3dd6</vt:lpwstr>
  </property>
  <property fmtid="{D5CDD505-2E9C-101B-9397-08002B2CF9AE}" pid="8" name="_dlc_DocIdUrl">
    <vt:lpwstr>https://nokia.sharepoint.com/sites/c5g/5gradio/_layouts/15/DocIdRedir.aspx?ID=SP-5AIRPNAIUNRU-1830940522-148, SP-5AIRPNAIUNRU-1830940522-148</vt:lpwstr>
  </property>
</Properties>
</file>